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1"/>
        <w:tblW w:w="8910" w:type="dxa"/>
        <w:tblLayout w:type="fixed"/>
        <w:tblLook w:val="04A0" w:firstRow="1" w:lastRow="0" w:firstColumn="1" w:lastColumn="0" w:noHBand="0" w:noVBand="1"/>
      </w:tblPr>
      <w:tblGrid>
        <w:gridCol w:w="1800"/>
        <w:gridCol w:w="5490"/>
        <w:gridCol w:w="1620"/>
      </w:tblGrid>
      <w:tr w:rsidR="00B839C5" w:rsidRPr="0016037E" w:rsidTr="00122ACD">
        <w:trPr>
          <w:trHeight w:val="1478"/>
        </w:trPr>
        <w:tc>
          <w:tcPr>
            <w:tcW w:w="1800" w:type="dxa"/>
            <w:tcBorders>
              <w:top w:val="single" w:sz="4" w:space="0" w:color="auto"/>
              <w:left w:val="nil"/>
              <w:bottom w:val="single" w:sz="4" w:space="0" w:color="auto"/>
              <w:right w:val="nil"/>
            </w:tcBorders>
            <w:vAlign w:val="center"/>
            <w:hideMark/>
          </w:tcPr>
          <w:p w:rsidR="00B839C5" w:rsidRPr="0016037E" w:rsidRDefault="00122ACD" w:rsidP="00122ACD">
            <w:pPr>
              <w:pStyle w:val="BasicParagraph"/>
              <w:spacing w:line="276" w:lineRule="auto"/>
              <w:jc w:val="center"/>
              <w:rPr>
                <w:rFonts w:ascii="Times New Roman" w:hAnsi="Times New Roman" w:cs="Times New Roman"/>
                <w:b/>
                <w:bCs/>
                <w:lang w:val="id-ID"/>
              </w:rPr>
            </w:pPr>
            <w:r>
              <w:rPr>
                <w:rFonts w:ascii="Times New Roman" w:hAnsi="Times New Roman" w:cs="Times New Roman"/>
                <w:b/>
                <w:bCs/>
                <w:noProof/>
                <w:lang w:val="en-US"/>
              </w:rPr>
              <w:drawing>
                <wp:anchor distT="0" distB="0" distL="114300" distR="114300" simplePos="0" relativeHeight="251659264" behindDoc="0" locked="0" layoutInCell="1" allowOverlap="1">
                  <wp:simplePos x="0" y="0"/>
                  <wp:positionH relativeFrom="column">
                    <wp:posOffset>156845</wp:posOffset>
                  </wp:positionH>
                  <wp:positionV relativeFrom="paragraph">
                    <wp:posOffset>-635</wp:posOffset>
                  </wp:positionV>
                  <wp:extent cx="566420" cy="822960"/>
                  <wp:effectExtent l="0" t="0" r="0" b="0"/>
                  <wp:wrapNone/>
                  <wp:docPr id="2" name="Picture 2" descr="D:\cover_issue_270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ver_issue_270_en_U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2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0" w:type="dxa"/>
            <w:tcBorders>
              <w:top w:val="single" w:sz="4" w:space="0" w:color="auto"/>
              <w:left w:val="nil"/>
              <w:bottom w:val="single" w:sz="4" w:space="0" w:color="auto"/>
              <w:right w:val="nil"/>
            </w:tcBorders>
            <w:shd w:val="clear" w:color="auto" w:fill="B6DDE8" w:themeFill="accent5" w:themeFillTint="66"/>
          </w:tcPr>
          <w:p w:rsidR="00B839C5" w:rsidRPr="0016037E" w:rsidRDefault="00B839C5" w:rsidP="00F24B83">
            <w:pPr>
              <w:pStyle w:val="BasicParagraph"/>
              <w:spacing w:line="360" w:lineRule="auto"/>
              <w:rPr>
                <w:rFonts w:ascii="Times New Roman" w:hAnsi="Times New Roman" w:cs="Times New Roman"/>
                <w:sz w:val="16"/>
                <w:szCs w:val="16"/>
                <w:lang w:val="id-ID"/>
              </w:rPr>
            </w:pPr>
          </w:p>
          <w:p w:rsidR="008A2611" w:rsidRPr="0016037E" w:rsidRDefault="008A2611" w:rsidP="008A2611">
            <w:pPr>
              <w:pStyle w:val="BasicParagraph"/>
              <w:spacing w:line="360" w:lineRule="auto"/>
              <w:jc w:val="center"/>
              <w:rPr>
                <w:rFonts w:ascii="Times New Roman" w:hAnsi="Times New Roman" w:cs="Times New Roman"/>
                <w:b/>
                <w:bCs/>
                <w:sz w:val="24"/>
                <w:szCs w:val="24"/>
                <w:lang w:val="id-ID"/>
              </w:rPr>
            </w:pPr>
            <w:r w:rsidRPr="0016037E">
              <w:rPr>
                <w:rFonts w:ascii="Times New Roman" w:hAnsi="Times New Roman" w:cs="Times New Roman"/>
                <w:b/>
                <w:bCs/>
                <w:sz w:val="24"/>
                <w:szCs w:val="24"/>
                <w:lang w:val="id-ID"/>
              </w:rPr>
              <w:t xml:space="preserve">JURNAL </w:t>
            </w:r>
            <w:r w:rsidR="00122ACD">
              <w:rPr>
                <w:rFonts w:ascii="Times New Roman" w:hAnsi="Times New Roman" w:cs="Times New Roman"/>
                <w:b/>
                <w:bCs/>
                <w:sz w:val="24"/>
                <w:szCs w:val="24"/>
                <w:lang w:val="en-US"/>
              </w:rPr>
              <w:t>ILMU</w:t>
            </w:r>
            <w:r w:rsidRPr="0016037E">
              <w:rPr>
                <w:rFonts w:ascii="Times New Roman" w:hAnsi="Times New Roman" w:cs="Times New Roman"/>
                <w:b/>
                <w:bCs/>
                <w:sz w:val="24"/>
                <w:szCs w:val="24"/>
                <w:lang w:val="id-ID"/>
              </w:rPr>
              <w:t xml:space="preserve"> MANAJEMEN</w:t>
            </w:r>
          </w:p>
          <w:p w:rsidR="00122ACD" w:rsidRDefault="008A2611" w:rsidP="008A2611">
            <w:pPr>
              <w:autoSpaceDE w:val="0"/>
              <w:autoSpaceDN w:val="0"/>
              <w:adjustRightInd w:val="0"/>
              <w:spacing w:line="288" w:lineRule="auto"/>
              <w:jc w:val="center"/>
              <w:textAlignment w:val="center"/>
              <w:rPr>
                <w:color w:val="000000"/>
                <w:sz w:val="17"/>
                <w:szCs w:val="17"/>
              </w:rPr>
            </w:pPr>
            <w:r w:rsidRPr="0016037E">
              <w:rPr>
                <w:color w:val="000000"/>
                <w:sz w:val="17"/>
                <w:szCs w:val="17"/>
                <w:lang w:val="id-ID"/>
              </w:rPr>
              <w:t xml:space="preserve">Published every June and December  </w:t>
            </w:r>
          </w:p>
          <w:p w:rsidR="00B839C5" w:rsidRDefault="008A2611" w:rsidP="008A2611">
            <w:pPr>
              <w:autoSpaceDE w:val="0"/>
              <w:autoSpaceDN w:val="0"/>
              <w:adjustRightInd w:val="0"/>
              <w:spacing w:line="288" w:lineRule="auto"/>
              <w:jc w:val="center"/>
              <w:textAlignment w:val="center"/>
              <w:rPr>
                <w:sz w:val="17"/>
                <w:szCs w:val="17"/>
              </w:rPr>
            </w:pPr>
            <w:r w:rsidRPr="0016037E">
              <w:rPr>
                <w:color w:val="000000"/>
                <w:sz w:val="17"/>
                <w:szCs w:val="17"/>
                <w:lang w:val="id-ID"/>
              </w:rPr>
              <w:t>e-ISSN:</w:t>
            </w:r>
            <w:r w:rsidRPr="0016037E">
              <w:rPr>
                <w:sz w:val="17"/>
                <w:szCs w:val="17"/>
                <w:lang w:val="id-ID"/>
              </w:rPr>
              <w:t xml:space="preserve"> </w:t>
            </w:r>
            <w:r w:rsidR="00122ACD">
              <w:rPr>
                <w:sz w:val="17"/>
                <w:szCs w:val="17"/>
              </w:rPr>
              <w:t>2623-2081</w:t>
            </w:r>
            <w:r w:rsidRPr="0016037E">
              <w:rPr>
                <w:color w:val="000000"/>
                <w:sz w:val="17"/>
                <w:szCs w:val="17"/>
                <w:lang w:val="id-ID"/>
              </w:rPr>
              <w:t xml:space="preserve">, p-ISSN: </w:t>
            </w:r>
            <w:r w:rsidR="00122ACD">
              <w:rPr>
                <w:sz w:val="17"/>
                <w:szCs w:val="17"/>
              </w:rPr>
              <w:t>2089-8177</w:t>
            </w:r>
            <w:r w:rsidRPr="0016037E">
              <w:rPr>
                <w:sz w:val="17"/>
                <w:szCs w:val="17"/>
                <w:lang w:val="id-ID"/>
              </w:rPr>
              <w:t xml:space="preserve"> </w:t>
            </w:r>
          </w:p>
          <w:p w:rsidR="00122ACD" w:rsidRPr="00122ACD" w:rsidRDefault="00122ACD" w:rsidP="008A2611">
            <w:pPr>
              <w:autoSpaceDE w:val="0"/>
              <w:autoSpaceDN w:val="0"/>
              <w:adjustRightInd w:val="0"/>
              <w:spacing w:line="288" w:lineRule="auto"/>
              <w:jc w:val="center"/>
              <w:textAlignment w:val="center"/>
              <w:rPr>
                <w:color w:val="000000"/>
                <w:sz w:val="17"/>
                <w:szCs w:val="17"/>
              </w:rPr>
            </w:pPr>
            <w:r>
              <w:rPr>
                <w:sz w:val="17"/>
                <w:szCs w:val="17"/>
              </w:rPr>
              <w:t xml:space="preserve">Journal homepage: </w:t>
            </w:r>
            <w:hyperlink r:id="rId9" w:history="1">
              <w:r w:rsidRPr="00122ACD">
                <w:rPr>
                  <w:rStyle w:val="Hyperlink"/>
                  <w:sz w:val="17"/>
                  <w:szCs w:val="17"/>
                </w:rPr>
                <w:t>http://jurnal.um-palembang.ac.id/ilmu_manajemen</w:t>
              </w:r>
            </w:hyperlink>
          </w:p>
        </w:tc>
        <w:tc>
          <w:tcPr>
            <w:tcW w:w="1620" w:type="dxa"/>
            <w:tcBorders>
              <w:top w:val="single" w:sz="4" w:space="0" w:color="auto"/>
              <w:left w:val="nil"/>
              <w:bottom w:val="single" w:sz="4" w:space="0" w:color="auto"/>
              <w:right w:val="nil"/>
            </w:tcBorders>
            <w:vAlign w:val="center"/>
          </w:tcPr>
          <w:p w:rsidR="00B839C5" w:rsidRPr="0016037E" w:rsidRDefault="00122ACD" w:rsidP="00122ACD">
            <w:pPr>
              <w:pStyle w:val="BasicParagraph"/>
              <w:spacing w:line="276" w:lineRule="auto"/>
              <w:jc w:val="center"/>
              <w:rPr>
                <w:rFonts w:ascii="Times New Roman" w:hAnsi="Times New Roman" w:cs="Times New Roman"/>
                <w:sz w:val="18"/>
                <w:szCs w:val="18"/>
                <w:lang w:val="id-ID"/>
              </w:rPr>
            </w:pPr>
            <w:r>
              <w:rPr>
                <w:rFonts w:ascii="Times New Roman" w:hAnsi="Times New Roman" w:cs="Times New Roman"/>
                <w:noProof/>
                <w:sz w:val="18"/>
                <w:szCs w:val="18"/>
                <w:lang w:val="en-US"/>
              </w:rPr>
              <w:drawing>
                <wp:inline distT="0" distB="0" distL="0" distR="0" wp14:anchorId="748D799F" wp14:editId="727FB122">
                  <wp:extent cx="954405" cy="814705"/>
                  <wp:effectExtent l="0" t="0" r="0" b="0"/>
                  <wp:docPr id="1" name="Picture 1" descr="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4405" cy="814705"/>
                          </a:xfrm>
                          <a:prstGeom prst="rect">
                            <a:avLst/>
                          </a:prstGeom>
                          <a:noFill/>
                          <a:ln>
                            <a:noFill/>
                          </a:ln>
                        </pic:spPr>
                      </pic:pic>
                    </a:graphicData>
                  </a:graphic>
                </wp:inline>
              </w:drawing>
            </w:r>
          </w:p>
        </w:tc>
      </w:tr>
    </w:tbl>
    <w:p w:rsidR="00F24B83" w:rsidRPr="00E9373D" w:rsidRDefault="00F24B83" w:rsidP="00C77608">
      <w:pPr>
        <w:pStyle w:val="Title"/>
        <w:rPr>
          <w:color w:val="000000" w:themeColor="text1"/>
          <w:sz w:val="16"/>
          <w:szCs w:val="28"/>
        </w:rPr>
      </w:pPr>
    </w:p>
    <w:p w:rsidR="00AF380E" w:rsidRPr="00E9373D" w:rsidRDefault="00AF380E" w:rsidP="00E9373D">
      <w:pPr>
        <w:outlineLvl w:val="0"/>
        <w:rPr>
          <w:b/>
          <w:sz w:val="32"/>
          <w:szCs w:val="32"/>
          <w:lang w:val="fi-FI"/>
        </w:rPr>
      </w:pPr>
      <w:r w:rsidRPr="00433B94">
        <w:rPr>
          <w:b/>
          <w:bCs/>
          <w:sz w:val="32"/>
          <w:szCs w:val="32"/>
        </w:rPr>
        <w:t xml:space="preserve">ANALISIS PERKEMBANGAN </w:t>
      </w:r>
      <w:r w:rsidRPr="00433B94">
        <w:rPr>
          <w:b/>
          <w:bCs/>
          <w:i/>
          <w:iCs/>
          <w:sz w:val="32"/>
          <w:szCs w:val="32"/>
        </w:rPr>
        <w:t xml:space="preserve">RETURN ON ASSETS </w:t>
      </w:r>
      <w:r w:rsidRPr="00433B94">
        <w:rPr>
          <w:b/>
          <w:bCs/>
          <w:sz w:val="32"/>
          <w:szCs w:val="32"/>
        </w:rPr>
        <w:t>(ROA)</w:t>
      </w:r>
      <w:r w:rsidR="00E9373D">
        <w:rPr>
          <w:b/>
          <w:sz w:val="32"/>
          <w:szCs w:val="32"/>
          <w:lang w:val="fi-FI"/>
        </w:rPr>
        <w:t xml:space="preserve"> </w:t>
      </w:r>
      <w:r w:rsidRPr="00433B94">
        <w:rPr>
          <w:b/>
          <w:bCs/>
          <w:sz w:val="32"/>
          <w:szCs w:val="32"/>
        </w:rPr>
        <w:t xml:space="preserve">DAN </w:t>
      </w:r>
      <w:r w:rsidRPr="00433B94">
        <w:rPr>
          <w:b/>
          <w:bCs/>
          <w:i/>
          <w:iCs/>
          <w:sz w:val="32"/>
          <w:szCs w:val="32"/>
        </w:rPr>
        <w:t xml:space="preserve">RETURN ON EQUITY </w:t>
      </w:r>
      <w:r w:rsidRPr="00433B94">
        <w:rPr>
          <w:b/>
          <w:bCs/>
          <w:sz w:val="32"/>
          <w:szCs w:val="32"/>
        </w:rPr>
        <w:t>(ROE) UNTUK MENGUKUR</w:t>
      </w:r>
      <w:r w:rsidR="00E9373D">
        <w:rPr>
          <w:b/>
          <w:bCs/>
          <w:sz w:val="32"/>
          <w:szCs w:val="32"/>
        </w:rPr>
        <w:t xml:space="preserve"> KINERJA KEUANGAN</w:t>
      </w:r>
    </w:p>
    <w:p w:rsidR="00AF380E" w:rsidRPr="00E9373D" w:rsidRDefault="00AF380E" w:rsidP="001048E0">
      <w:pPr>
        <w:spacing w:line="276" w:lineRule="auto"/>
        <w:jc w:val="center"/>
        <w:rPr>
          <w:b/>
          <w:sz w:val="16"/>
        </w:rPr>
      </w:pPr>
    </w:p>
    <w:p w:rsidR="00AF380E" w:rsidRPr="00E9373D" w:rsidRDefault="00AF380E" w:rsidP="00E9373D">
      <w:pPr>
        <w:spacing w:line="276" w:lineRule="auto"/>
        <w:outlineLvl w:val="0"/>
        <w:rPr>
          <w:i/>
          <w:sz w:val="24"/>
          <w:szCs w:val="28"/>
        </w:rPr>
      </w:pPr>
      <w:r w:rsidRPr="00E9373D">
        <w:rPr>
          <w:i/>
          <w:sz w:val="24"/>
          <w:szCs w:val="28"/>
        </w:rPr>
        <w:t>R</w:t>
      </w:r>
      <w:r w:rsidRPr="00E9373D">
        <w:rPr>
          <w:i/>
          <w:sz w:val="24"/>
          <w:szCs w:val="28"/>
          <w:lang w:val="id-ID"/>
        </w:rPr>
        <w:t>endi Wijaya</w:t>
      </w:r>
    </w:p>
    <w:p w:rsidR="00AF380E" w:rsidRPr="00E9373D" w:rsidRDefault="00AF380E" w:rsidP="00E9373D">
      <w:pPr>
        <w:spacing w:line="276" w:lineRule="auto"/>
        <w:outlineLvl w:val="0"/>
        <w:rPr>
          <w:i/>
        </w:rPr>
      </w:pPr>
      <w:r w:rsidRPr="00E9373D">
        <w:rPr>
          <w:i/>
          <w:lang w:val="id-ID"/>
        </w:rPr>
        <w:t>STIE A</w:t>
      </w:r>
      <w:r w:rsidRPr="00E9373D">
        <w:rPr>
          <w:i/>
        </w:rPr>
        <w:t>bdi</w:t>
      </w:r>
      <w:r w:rsidRPr="00E9373D">
        <w:rPr>
          <w:i/>
          <w:lang w:val="id-ID"/>
        </w:rPr>
        <w:t xml:space="preserve"> N</w:t>
      </w:r>
      <w:r w:rsidRPr="00E9373D">
        <w:rPr>
          <w:i/>
        </w:rPr>
        <w:t xml:space="preserve">usa </w:t>
      </w:r>
      <w:r w:rsidRPr="00E9373D">
        <w:rPr>
          <w:i/>
          <w:lang w:val="id-ID"/>
        </w:rPr>
        <w:t>Palembang</w:t>
      </w:r>
      <w:r w:rsidR="00E9373D" w:rsidRPr="00E9373D">
        <w:rPr>
          <w:i/>
        </w:rPr>
        <w:t>, Indonesia</w:t>
      </w:r>
    </w:p>
    <w:p w:rsidR="00E9373D" w:rsidRDefault="00E9373D" w:rsidP="00E9373D">
      <w:pPr>
        <w:spacing w:line="276" w:lineRule="auto"/>
        <w:outlineLvl w:val="0"/>
        <w:rPr>
          <w:i/>
          <w:lang w:eastAsia="zh-CN"/>
        </w:rPr>
      </w:pPr>
      <w:r w:rsidRPr="00E9373D">
        <w:rPr>
          <w:i/>
          <w:lang w:eastAsia="zh-CN"/>
        </w:rPr>
        <w:t xml:space="preserve">* Corresponding author e-mail: </w:t>
      </w:r>
      <w:r w:rsidR="00073341">
        <w:rPr>
          <w:i/>
          <w:lang w:eastAsia="zh-CN"/>
        </w:rPr>
        <w:t>rendywijaya086@gmail.com</w:t>
      </w:r>
    </w:p>
    <w:tbl>
      <w:tblPr>
        <w:tblpPr w:leftFromText="180" w:rightFromText="180" w:vertAnchor="text" w:horzAnchor="margin" w:tblpY="143"/>
        <w:tblW w:w="9990" w:type="dxa"/>
        <w:tblBorders>
          <w:bottom w:val="single" w:sz="4" w:space="0" w:color="auto"/>
        </w:tblBorders>
        <w:tblLayout w:type="fixed"/>
        <w:tblLook w:val="04A0" w:firstRow="1" w:lastRow="0" w:firstColumn="1" w:lastColumn="0" w:noHBand="0" w:noVBand="1"/>
      </w:tblPr>
      <w:tblGrid>
        <w:gridCol w:w="2430"/>
        <w:gridCol w:w="270"/>
        <w:gridCol w:w="7290"/>
      </w:tblGrid>
      <w:tr w:rsidR="00E9373D" w:rsidRPr="00CE31BD" w:rsidTr="00E9373D">
        <w:trPr>
          <w:trHeight w:val="845"/>
        </w:trPr>
        <w:tc>
          <w:tcPr>
            <w:tcW w:w="2430" w:type="dxa"/>
            <w:shd w:val="clear" w:color="auto" w:fill="auto"/>
          </w:tcPr>
          <w:p w:rsidR="00E9373D" w:rsidRPr="000E3468" w:rsidRDefault="00E9373D" w:rsidP="00E9373D">
            <w:pPr>
              <w:pStyle w:val="Abstract-head"/>
              <w:rPr>
                <w:b/>
              </w:rPr>
            </w:pPr>
            <w:r w:rsidRPr="00CE31BD">
              <w:t>A R T I C L E  I N F O</w:t>
            </w:r>
          </w:p>
          <w:p w:rsidR="00E9373D" w:rsidRPr="000E3468" w:rsidRDefault="00E9373D" w:rsidP="00E9373D">
            <w:pPr>
              <w:pStyle w:val="Els-history-head"/>
              <w:rPr>
                <w:i w:val="0"/>
                <w:iCs/>
                <w:szCs w:val="18"/>
              </w:rPr>
            </w:pPr>
            <w:r w:rsidRPr="000E3468">
              <w:rPr>
                <w:i w:val="0"/>
                <w:iCs/>
                <w:szCs w:val="18"/>
              </w:rPr>
              <w:t xml:space="preserve">DOI: </w:t>
            </w:r>
            <w:hyperlink r:id="rId11" w:history="1">
              <w:r w:rsidRPr="00EB7050">
                <w:rPr>
                  <w:rStyle w:val="Hyperlink"/>
                  <w:rFonts w:ascii="Arial" w:hAnsi="Arial" w:cs="Arial"/>
                  <w:i w:val="0"/>
                  <w:color w:val="auto"/>
                  <w:sz w:val="19"/>
                  <w:szCs w:val="19"/>
                  <w:u w:val="none"/>
                  <w:shd w:val="clear" w:color="auto" w:fill="FFFFFF"/>
                </w:rPr>
                <w:t>10.32502/jimn</w:t>
              </w:r>
            </w:hyperlink>
            <w:r w:rsidRPr="00EB7050">
              <w:rPr>
                <w:i w:val="0"/>
                <w:iCs/>
                <w:szCs w:val="18"/>
              </w:rPr>
              <w:t xml:space="preserve">.vXiX.XXXX </w:t>
            </w:r>
          </w:p>
          <w:p w:rsidR="00E9373D" w:rsidRPr="000E3468" w:rsidRDefault="00E9373D" w:rsidP="00E9373D"/>
          <w:p w:rsidR="00E9373D" w:rsidRPr="000E3468" w:rsidRDefault="00E9373D" w:rsidP="00E9373D">
            <w:pPr>
              <w:pStyle w:val="Els-history-head"/>
              <w:rPr>
                <w:szCs w:val="18"/>
              </w:rPr>
            </w:pPr>
            <w:r w:rsidRPr="000E3468">
              <w:rPr>
                <w:szCs w:val="18"/>
              </w:rPr>
              <w:t xml:space="preserve">Article history: </w:t>
            </w:r>
          </w:p>
          <w:p w:rsidR="00E9373D" w:rsidRPr="00CE31BD" w:rsidRDefault="00E9373D" w:rsidP="00E9373D">
            <w:pPr>
              <w:pStyle w:val="1fHistory"/>
            </w:pPr>
            <w:r w:rsidRPr="00CE31BD">
              <w:t xml:space="preserve">Received: </w:t>
            </w:r>
          </w:p>
          <w:p w:rsidR="00E9373D" w:rsidRPr="000E3468" w:rsidRDefault="00EA2E99" w:rsidP="00E9373D">
            <w:pPr>
              <w:pStyle w:val="1fHistory"/>
              <w:rPr>
                <w:color w:val="FF0000"/>
              </w:rPr>
            </w:pPr>
            <w:r w:rsidRPr="00EA2E99">
              <w:t>16 September 2019</w:t>
            </w:r>
          </w:p>
          <w:p w:rsidR="00E9373D" w:rsidRPr="00CE31BD" w:rsidRDefault="00E9373D" w:rsidP="00E9373D">
            <w:pPr>
              <w:pStyle w:val="1fHistory"/>
            </w:pPr>
            <w:r w:rsidRPr="00CE31BD">
              <w:t xml:space="preserve">Accepted: </w:t>
            </w:r>
          </w:p>
          <w:p w:rsidR="00E9373D" w:rsidRPr="004863FC" w:rsidRDefault="004863FC" w:rsidP="00E9373D">
            <w:pPr>
              <w:pStyle w:val="1fHistory"/>
            </w:pPr>
            <w:r w:rsidRPr="004863FC">
              <w:t>28 Oktober 2019</w:t>
            </w:r>
          </w:p>
          <w:p w:rsidR="00E9373D" w:rsidRPr="00CE31BD" w:rsidRDefault="00E9373D" w:rsidP="00E9373D">
            <w:pPr>
              <w:pStyle w:val="1fHistory"/>
            </w:pPr>
            <w:r w:rsidRPr="00CE31BD">
              <w:t xml:space="preserve">Available online: </w:t>
            </w:r>
          </w:p>
          <w:p w:rsidR="00E9373D" w:rsidRPr="004863FC" w:rsidRDefault="004863FC" w:rsidP="00E9373D">
            <w:pPr>
              <w:pStyle w:val="1fHistory"/>
            </w:pPr>
            <w:r w:rsidRPr="004863FC">
              <w:t>15 Desember 2019</w:t>
            </w:r>
          </w:p>
          <w:p w:rsidR="00E9373D" w:rsidRPr="000E3468" w:rsidRDefault="00E9373D" w:rsidP="00E9373D"/>
          <w:p w:rsidR="00E9373D" w:rsidRPr="000E3468" w:rsidRDefault="00E9373D" w:rsidP="00E9373D">
            <w:pPr>
              <w:pStyle w:val="1dKeywords"/>
              <w:rPr>
                <w:sz w:val="17"/>
              </w:rPr>
            </w:pPr>
            <w:r w:rsidRPr="000E3468">
              <w:t>Keywords</w:t>
            </w:r>
            <w:r w:rsidRPr="000E3468">
              <w:rPr>
                <w:sz w:val="17"/>
              </w:rPr>
              <w:t>:</w:t>
            </w:r>
          </w:p>
          <w:p w:rsidR="00E9373D" w:rsidRPr="00AF380E" w:rsidRDefault="00E9373D" w:rsidP="00E9373D">
            <w:pPr>
              <w:pStyle w:val="1dKeywords"/>
            </w:pPr>
            <w:r w:rsidRPr="00AF380E">
              <w:t>Return on Assets (ROA), Return on Equity (ROE), Financial Performance</w:t>
            </w:r>
          </w:p>
        </w:tc>
        <w:tc>
          <w:tcPr>
            <w:tcW w:w="270" w:type="dxa"/>
            <w:tcBorders>
              <w:bottom w:val="nil"/>
            </w:tcBorders>
            <w:shd w:val="clear" w:color="auto" w:fill="auto"/>
          </w:tcPr>
          <w:p w:rsidR="00E9373D" w:rsidRPr="000E3468" w:rsidRDefault="00E9373D" w:rsidP="00E9373D"/>
        </w:tc>
        <w:tc>
          <w:tcPr>
            <w:tcW w:w="7290" w:type="dxa"/>
            <w:shd w:val="clear" w:color="auto" w:fill="auto"/>
          </w:tcPr>
          <w:p w:rsidR="00E9373D" w:rsidRPr="00E9373D" w:rsidRDefault="00E9373D" w:rsidP="00E9373D">
            <w:pPr>
              <w:pStyle w:val="Abstract-head"/>
              <w:rPr>
                <w:b/>
              </w:rPr>
            </w:pPr>
            <w:r w:rsidRPr="00E9373D">
              <w:t>A B S T R A C T</w:t>
            </w:r>
          </w:p>
          <w:p w:rsidR="00E9373D" w:rsidRPr="00E9373D" w:rsidRDefault="00E9373D" w:rsidP="00E9373D">
            <w:pPr>
              <w:pStyle w:val="1eAbstract-text"/>
              <w:rPr>
                <w:sz w:val="20"/>
              </w:rPr>
            </w:pPr>
          </w:p>
          <w:p w:rsidR="00E9373D" w:rsidRPr="00E9373D" w:rsidRDefault="00E9373D" w:rsidP="00E9373D">
            <w:pPr>
              <w:jc w:val="both"/>
              <w:rPr>
                <w:i/>
              </w:rPr>
            </w:pPr>
            <w:r w:rsidRPr="00E9373D">
              <w:rPr>
                <w:i/>
              </w:rPr>
              <w:t>This study aims to determine how the development of Return On Assets (ROA) and Return On Equity (ROE) to assess financial performance at PT. Surya Eka Lestari Ogan Komering Ulu. The results of this study indicate that financial performance at PT. Surya Eka Lestari is good enough because it has reached the ratio standard. The good or bad management of a company can be reflected in the financial performance of a company.</w:t>
            </w:r>
            <w:r>
              <w:rPr>
                <w:i/>
              </w:rPr>
              <w:t xml:space="preserve"> </w:t>
            </w:r>
            <w:r w:rsidRPr="00E9373D">
              <w:rPr>
                <w:i/>
              </w:rPr>
              <w:t>Development of Return On Assets (ROA) at PT. Surya Eka Lestari Ogan Komering Ulu from 2013 to 2017 produced an average of 30.87% and had met the standards set above the 1.5% ratio, the ratio achieved was categorized in a healthy group. The higher the return on assets produced, the higher the net profit generated from each fund that is embedded in the total assets.</w:t>
            </w:r>
            <w:r>
              <w:rPr>
                <w:i/>
              </w:rPr>
              <w:t xml:space="preserve"> </w:t>
            </w:r>
            <w:r w:rsidRPr="00E9373D">
              <w:rPr>
                <w:i/>
              </w:rPr>
              <w:t>While the development of Return On Equity (ROE) at PT. Surya Eka Lestari Ogan Komering Ulu from 2013 to 2017 produced an average of 43.50% and had met the industry average of 40%, the ratio achieved showed the company's condition was quite good. The higher the yield, the better because the dividends distributed or reinvested as retained earnings are also greater.</w:t>
            </w:r>
          </w:p>
          <w:p w:rsidR="00E9373D" w:rsidRPr="007C0CDC" w:rsidRDefault="00E9373D" w:rsidP="00E9373D">
            <w:pPr>
              <w:ind w:firstLine="720"/>
              <w:jc w:val="both"/>
              <w:rPr>
                <w:i/>
                <w:sz w:val="10"/>
              </w:rPr>
            </w:pPr>
          </w:p>
          <w:p w:rsidR="00E9373D" w:rsidRPr="007C0CDC" w:rsidRDefault="00E9373D" w:rsidP="00E9373D">
            <w:pPr>
              <w:pStyle w:val="Els-Abstract-Copyright"/>
              <w:jc w:val="left"/>
              <w:rPr>
                <w:sz w:val="2"/>
              </w:rPr>
            </w:pPr>
          </w:p>
          <w:p w:rsidR="00E9373D" w:rsidRPr="00E9373D" w:rsidRDefault="00E9373D" w:rsidP="00E9373D">
            <w:pPr>
              <w:pStyle w:val="Els-Abstract-Copyright"/>
              <w:jc w:val="left"/>
              <w:rPr>
                <w:b/>
                <w:sz w:val="20"/>
              </w:rPr>
            </w:pPr>
            <w:r w:rsidRPr="00E9373D">
              <w:rPr>
                <w:sz w:val="20"/>
              </w:rPr>
              <w:t>A B S T R A K</w:t>
            </w:r>
          </w:p>
          <w:p w:rsidR="00E9373D" w:rsidRPr="007C0CDC" w:rsidRDefault="00E9373D" w:rsidP="00E9373D">
            <w:pPr>
              <w:jc w:val="both"/>
              <w:rPr>
                <w:i/>
                <w:sz w:val="8"/>
              </w:rPr>
            </w:pPr>
          </w:p>
          <w:p w:rsidR="00E9373D" w:rsidRPr="007C0CDC" w:rsidRDefault="00E9373D" w:rsidP="00E9373D">
            <w:pPr>
              <w:pStyle w:val="Els-Abstract-Copyright"/>
              <w:jc w:val="left"/>
              <w:rPr>
                <w:rFonts w:eastAsia="Times New Roman"/>
                <w:sz w:val="6"/>
              </w:rPr>
            </w:pPr>
          </w:p>
          <w:p w:rsidR="007C0CDC" w:rsidRDefault="00E9373D" w:rsidP="00E9373D">
            <w:pPr>
              <w:autoSpaceDE w:val="0"/>
              <w:autoSpaceDN w:val="0"/>
              <w:adjustRightInd w:val="0"/>
              <w:jc w:val="both"/>
              <w:rPr>
                <w:i/>
              </w:rPr>
            </w:pPr>
            <w:r w:rsidRPr="00E9373D">
              <w:rPr>
                <w:i/>
              </w:rPr>
              <w:t xml:space="preserve">Penelitian ini bertujuan untuk mengetahui bagaimana perkembangan </w:t>
            </w:r>
            <w:r w:rsidRPr="00E9373D">
              <w:rPr>
                <w:i/>
                <w:iCs/>
              </w:rPr>
              <w:t xml:space="preserve">Return On Assets </w:t>
            </w:r>
            <w:r w:rsidRPr="00E9373D">
              <w:rPr>
                <w:i/>
              </w:rPr>
              <w:t xml:space="preserve">(ROA) dan </w:t>
            </w:r>
            <w:r w:rsidRPr="00E9373D">
              <w:rPr>
                <w:i/>
                <w:iCs/>
              </w:rPr>
              <w:t xml:space="preserve">Return On Equity </w:t>
            </w:r>
            <w:r w:rsidRPr="00E9373D">
              <w:rPr>
                <w:i/>
              </w:rPr>
              <w:t xml:space="preserve">(ROE) untuk menilai kinerja keuangan pada PT. Surya Eka Lestari Ogan Komering Ulu. Hasil penelitian ini menunjukkan bahwa kinerja keuangan pada PT. Surya Eka Lestari sudah cukup baik karena telah mencapai standar rasio. Baik buruknya pengelolaan perusahaan dapat tercermin dari kinerja keuangan suatu perusahaan. Perkembangan </w:t>
            </w:r>
            <w:r w:rsidRPr="00E9373D">
              <w:rPr>
                <w:i/>
                <w:iCs/>
              </w:rPr>
              <w:t>Return On</w:t>
            </w:r>
            <w:r w:rsidRPr="00E9373D">
              <w:rPr>
                <w:i/>
              </w:rPr>
              <w:t xml:space="preserve"> </w:t>
            </w:r>
            <w:r w:rsidRPr="00E9373D">
              <w:rPr>
                <w:i/>
                <w:iCs/>
              </w:rPr>
              <w:t xml:space="preserve">Assets </w:t>
            </w:r>
            <w:r w:rsidRPr="00E9373D">
              <w:rPr>
                <w:i/>
              </w:rPr>
              <w:t xml:space="preserve">(ROA) pada PT. Surya Eka Lestari Ogan Komering Ulu dari tahun 2013 sampai 2017 menghasilkan rata-rata sebesar 30,87% dan telah memenuhi standar yang ditetapkan di atas rasio 1,5%, maka rasio yang dicapai dikategorikan dalam kelompok yang sehat. Semakin tinggi hasil pengembalian atas aset yang dihasilkan maka semakin tinggi jumlah laba bersih yang dihasilkan dari setiap dana yang tertanam dalam total aset tersebut. Sementara perkembangan </w:t>
            </w:r>
            <w:r w:rsidRPr="00E9373D">
              <w:rPr>
                <w:i/>
                <w:iCs/>
              </w:rPr>
              <w:t xml:space="preserve">Return On Equity </w:t>
            </w:r>
            <w:r w:rsidRPr="00E9373D">
              <w:rPr>
                <w:i/>
              </w:rPr>
              <w:t>(ROE) pada PT. Surya Eka Lestari Ogan Komering Ulu selama periode 2013 sampai 2017 menghasilkan rata-rata sebesar 43,50% dan telah memenuhi standar dari rata-rata industri sebesar 40%, maka rasio yang dicapai menunjukkan kondisi perusahaan cukup baik. Semakin tinggi hasil maka semakin baik karena dividen yang dibagikan atau diinvestasikan kembali sebagai laba ditahan juga semakin besar.</w:t>
            </w:r>
          </w:p>
          <w:p w:rsidR="007C0CDC" w:rsidRPr="00E9373D" w:rsidRDefault="00504F83" w:rsidP="00E9373D">
            <w:pPr>
              <w:autoSpaceDE w:val="0"/>
              <w:autoSpaceDN w:val="0"/>
              <w:adjustRightInd w:val="0"/>
              <w:jc w:val="both"/>
              <w:rPr>
                <w:i/>
              </w:rPr>
            </w:pPr>
            <w:hyperlink r:id="rId12" w:history="1">
              <w:r w:rsidR="007C0CDC" w:rsidRPr="00CE31BD">
                <w:rPr>
                  <w:rStyle w:val="Hyperlink"/>
                </w:rPr>
                <w:t>Creative Commons Attribution-ShareAlike 4.0 International License</w:t>
              </w:r>
            </w:hyperlink>
            <w:r w:rsidR="007C0CDC" w:rsidRPr="00CE31BD">
              <w:t>.</w:t>
            </w:r>
            <w:r w:rsidR="007C0CDC" w:rsidRPr="000E3468">
              <w:rPr>
                <w:szCs w:val="15"/>
              </w:rPr>
              <w:t xml:space="preserve"> </w:t>
            </w:r>
            <w:r w:rsidR="007C0CDC" w:rsidRPr="00CE31BD">
              <w:t xml:space="preserve">  </w:t>
            </w:r>
          </w:p>
        </w:tc>
      </w:tr>
    </w:tbl>
    <w:p w:rsidR="00E9373D" w:rsidRDefault="00E9373D" w:rsidP="00E9373D">
      <w:pPr>
        <w:spacing w:line="276" w:lineRule="auto"/>
        <w:outlineLvl w:val="0"/>
        <w:rPr>
          <w:i/>
          <w:lang w:eastAsia="zh-CN"/>
        </w:rPr>
      </w:pPr>
    </w:p>
    <w:p w:rsidR="0043104D" w:rsidRPr="00EB7E27" w:rsidRDefault="0043104D" w:rsidP="00EB7E27">
      <w:pPr>
        <w:jc w:val="both"/>
        <w:rPr>
          <w:rFonts w:eastAsiaTheme="minorHAnsi"/>
          <w:color w:val="000000"/>
          <w:sz w:val="24"/>
          <w:szCs w:val="24"/>
          <w:lang w:val="id-ID"/>
        </w:rPr>
      </w:pPr>
    </w:p>
    <w:p w:rsidR="00E0016C" w:rsidRPr="0016037E" w:rsidRDefault="00E0016C" w:rsidP="00B55B63">
      <w:pPr>
        <w:jc w:val="both"/>
        <w:rPr>
          <w:bCs/>
          <w:sz w:val="24"/>
          <w:szCs w:val="24"/>
          <w:lang w:val="id-ID"/>
        </w:rPr>
        <w:sectPr w:rsidR="00E0016C" w:rsidRPr="0016037E" w:rsidSect="00C16C6D">
          <w:headerReference w:type="even" r:id="rId13"/>
          <w:headerReference w:type="default" r:id="rId14"/>
          <w:footerReference w:type="even" r:id="rId15"/>
          <w:footerReference w:type="default" r:id="rId16"/>
          <w:footerReference w:type="first" r:id="rId17"/>
          <w:type w:val="continuous"/>
          <w:pgSz w:w="11906" w:h="16838"/>
          <w:pgMar w:top="1418" w:right="1276" w:bottom="1418" w:left="1276" w:header="709" w:footer="1134" w:gutter="0"/>
          <w:pgNumType w:start="40"/>
          <w:cols w:space="708"/>
          <w:docGrid w:linePitch="360"/>
        </w:sectPr>
      </w:pPr>
    </w:p>
    <w:p w:rsidR="00627912" w:rsidRPr="00627912" w:rsidRDefault="00AB37F2" w:rsidP="00627912">
      <w:pPr>
        <w:pStyle w:val="Heading3"/>
        <w:spacing w:before="0" w:after="0" w:line="276" w:lineRule="auto"/>
        <w:rPr>
          <w:rFonts w:ascii="Times New Roman" w:hAnsi="Times New Roman" w:cs="Times New Roman"/>
          <w:bCs w:val="0"/>
          <w:color w:val="000000" w:themeColor="text1"/>
          <w:sz w:val="28"/>
          <w:szCs w:val="28"/>
          <w:lang w:val="id-ID"/>
        </w:rPr>
      </w:pPr>
      <w:r w:rsidRPr="00627912">
        <w:rPr>
          <w:rFonts w:ascii="Times New Roman" w:hAnsi="Times New Roman" w:cs="Times New Roman"/>
          <w:bCs w:val="0"/>
          <w:color w:val="000000" w:themeColor="text1"/>
          <w:sz w:val="28"/>
          <w:szCs w:val="28"/>
          <w:lang w:val="id-ID"/>
        </w:rPr>
        <w:lastRenderedPageBreak/>
        <w:t>Pendahuluan</w:t>
      </w:r>
    </w:p>
    <w:p w:rsidR="000743B8" w:rsidRDefault="000743B8" w:rsidP="0006085F">
      <w:pPr>
        <w:jc w:val="both"/>
        <w:rPr>
          <w:lang w:val="id-ID"/>
        </w:rPr>
      </w:pPr>
      <w:r w:rsidRPr="000743B8">
        <w:rPr>
          <w:sz w:val="24"/>
          <w:szCs w:val="24"/>
          <w:lang w:val="id-ID"/>
        </w:rPr>
        <w:t>Berhasil tidaknya suatu perusahaan ditandai oleh kemampuan manajemen dalam membaca atau melihat segala kemungkinan atau kesempatan dimasa yang akan datang, baik jangka pendek maupun jangka panjang. Oleh karena itu tugas dari para manajer untuk merencanakan masa depan, segala kemungkinan dan kesempatan dimasa yang akan datang dan bagaimana menghadapi dimasa sekarang. Suatu perusahaan tidak hanya berfungsi untuk menghasilkan produk yang bermutu dengan menetapkan harga untuk menarik konsumen, tapi pihak perusahaan harus mempertimbangkan kondisi internal perusahaan</w:t>
      </w:r>
      <w:r w:rsidRPr="00BC205C">
        <w:rPr>
          <w:lang w:val="id-ID"/>
        </w:rPr>
        <w:t>.</w:t>
      </w:r>
    </w:p>
    <w:p w:rsidR="0095203F" w:rsidRPr="00BC205C" w:rsidRDefault="0095203F" w:rsidP="0006085F">
      <w:pPr>
        <w:jc w:val="both"/>
      </w:pPr>
    </w:p>
    <w:p w:rsidR="000743B8" w:rsidRDefault="000743B8" w:rsidP="0006085F">
      <w:pPr>
        <w:jc w:val="both"/>
        <w:rPr>
          <w:sz w:val="24"/>
          <w:szCs w:val="24"/>
          <w:lang w:val="id-ID"/>
        </w:rPr>
      </w:pPr>
      <w:r w:rsidRPr="000743B8">
        <w:rPr>
          <w:sz w:val="24"/>
          <w:szCs w:val="24"/>
          <w:lang w:val="id-ID"/>
        </w:rPr>
        <w:t>Dalam era globalisasi seperti sekarang ini persaingan dalam dunia usaha sangat ketat. Para pelaku usaha harus berusaha memperbaiki manajemen perusahaan agar dapat ikut bersaing dengan perusahaan yang bergerak dibidang yang sama. Sedangkan dalam menghadapi persaingan perusahaan harus memiliki dana yang cukup dalam melakukan hal baru agar para konsumen atau pembeli dapat berminat untuk membeli produk yang dihasilkan oleh perusahaan.</w:t>
      </w:r>
    </w:p>
    <w:p w:rsidR="0095203F" w:rsidRPr="000743B8" w:rsidRDefault="0095203F" w:rsidP="0006085F">
      <w:pPr>
        <w:jc w:val="both"/>
        <w:rPr>
          <w:sz w:val="24"/>
          <w:szCs w:val="24"/>
        </w:rPr>
      </w:pPr>
    </w:p>
    <w:p w:rsidR="000743B8" w:rsidRDefault="000743B8" w:rsidP="0006085F">
      <w:pPr>
        <w:jc w:val="both"/>
        <w:rPr>
          <w:sz w:val="24"/>
          <w:szCs w:val="24"/>
        </w:rPr>
      </w:pPr>
      <w:r w:rsidRPr="000743B8">
        <w:rPr>
          <w:sz w:val="24"/>
          <w:szCs w:val="24"/>
          <w:lang w:val="id-ID"/>
        </w:rPr>
        <w:t xml:space="preserve">Analisis rasio keuangan ini adalah salah satu cara </w:t>
      </w:r>
      <w:r w:rsidRPr="000743B8">
        <w:rPr>
          <w:sz w:val="24"/>
          <w:szCs w:val="24"/>
        </w:rPr>
        <w:t>m</w:t>
      </w:r>
      <w:r w:rsidRPr="000743B8">
        <w:rPr>
          <w:sz w:val="24"/>
          <w:szCs w:val="24"/>
          <w:lang w:val="id-ID"/>
        </w:rPr>
        <w:t>emproses dan penginterpretasian informasi akuntansi yang digunakan untuk menjelaskan hubungan tertentu antara angka yang satu dengan angka yang lain dari suatu laporan keuangan.</w:t>
      </w:r>
      <w:r w:rsidRPr="000743B8">
        <w:rPr>
          <w:sz w:val="24"/>
          <w:szCs w:val="24"/>
        </w:rPr>
        <w:t xml:space="preserve"> Salah satu fungsi laporan keuangan adalah untuk melakukan pengukuran termasuk pengukuran prestasi, hasil usaha, laba, maupun posisi keuangan. Salah satu yang sangat penting adalah untuk pengukuran laba. Laba merupakan salah satu pengukuran aktivitas operasi dan dihitung berdasarkan dasar akuntansi akurat. Dua proses utama dalam pengukuran laba adalah pengakuan pendapatan dan pengaitan beban. Pengakuan pendapatan merupakan titik awal pengukuran laba.  Oleh karena itu, pendapatan tersebut harus memenuhi dua syarat, yaitu pendapatan telah atau dapat </w:t>
      </w:r>
      <w:r w:rsidRPr="000743B8">
        <w:rPr>
          <w:sz w:val="24"/>
          <w:szCs w:val="24"/>
        </w:rPr>
        <w:lastRenderedPageBreak/>
        <w:t>direalisasikan dan pendapatan telah dihasilkan.  Pen</w:t>
      </w:r>
      <w:bookmarkStart w:id="0" w:name="_GoBack"/>
      <w:bookmarkEnd w:id="0"/>
      <w:r w:rsidRPr="000743B8">
        <w:rPr>
          <w:sz w:val="24"/>
          <w:szCs w:val="24"/>
        </w:rPr>
        <w:t>gukuran laba ini bukan hanya penting untuk mengetahui prestasi perusahaan, tetapi juga penting untuk sebagai informasi bagi pembagi laba, penentuan kebijakan investasi, pembayaran pajak, zakat, bonus, dan pembagian hasil.</w:t>
      </w:r>
    </w:p>
    <w:p w:rsidR="0095203F" w:rsidRPr="000743B8" w:rsidRDefault="0095203F" w:rsidP="0006085F">
      <w:pPr>
        <w:jc w:val="both"/>
        <w:rPr>
          <w:sz w:val="24"/>
          <w:szCs w:val="24"/>
        </w:rPr>
      </w:pPr>
    </w:p>
    <w:p w:rsidR="000743B8" w:rsidRDefault="000743B8" w:rsidP="000743B8">
      <w:pPr>
        <w:autoSpaceDE w:val="0"/>
        <w:autoSpaceDN w:val="0"/>
        <w:adjustRightInd w:val="0"/>
        <w:jc w:val="both"/>
        <w:rPr>
          <w:sz w:val="24"/>
          <w:szCs w:val="24"/>
        </w:rPr>
      </w:pPr>
      <w:r w:rsidRPr="000743B8">
        <w:rPr>
          <w:sz w:val="24"/>
          <w:szCs w:val="24"/>
        </w:rPr>
        <w:t xml:space="preserve">Baik buruknya pengelolaan perusahaan dapat tercermin dari kinerja keuangan suatu perusahaan. Menurut Fahmi (2011:2) kinerja keuangan adalah suatu analisis yang dilakukan untuk melihat sejauh mana suatu perusahaan telah melaksanakan dengan menggunakan aturan-aturan pelaksanaan keuangan secara baik dan benar. Supaya dapat mengetahui perkembangan suatu perusahaan, seorang manajer keuangan haruslah mampu menganalisis kondisi keuangan suatu perusahaan. Analisis dilakukan terhadap laporan keuangan yang dikeluarkan oleh perusahaan yaitu neraca, laporan laba rugi serta laporan keuangan lainnya. </w:t>
      </w:r>
    </w:p>
    <w:p w:rsidR="0095203F" w:rsidRPr="000743B8" w:rsidRDefault="0095203F" w:rsidP="000743B8">
      <w:pPr>
        <w:autoSpaceDE w:val="0"/>
        <w:autoSpaceDN w:val="0"/>
        <w:adjustRightInd w:val="0"/>
        <w:jc w:val="both"/>
        <w:rPr>
          <w:sz w:val="24"/>
          <w:szCs w:val="24"/>
        </w:rPr>
      </w:pPr>
    </w:p>
    <w:p w:rsidR="0095203F" w:rsidRDefault="000743B8" w:rsidP="000743B8">
      <w:pPr>
        <w:autoSpaceDE w:val="0"/>
        <w:autoSpaceDN w:val="0"/>
        <w:adjustRightInd w:val="0"/>
        <w:jc w:val="both"/>
        <w:rPr>
          <w:sz w:val="24"/>
          <w:szCs w:val="24"/>
        </w:rPr>
      </w:pPr>
      <w:r w:rsidRPr="000743B8">
        <w:rPr>
          <w:sz w:val="24"/>
          <w:szCs w:val="24"/>
        </w:rPr>
        <w:t xml:space="preserve">Salah satu cara untuk menilai efisiensi kinerja keuangan dari suatu usaha dalam manajemen keuangan adalah dengan menggunakan analisis rasio profitabilitas. Analisis profitabilitas diperlukan untuk menilai besar kecilnya produktifitas usaha sebuah perusahaan. Menurut Munawir (2004:33) rasio profitabilitas menunjukkan kemampuan perusahaan dalam menghasilkan laba selama periode tertentu. Rasio ini memberikan gambaran tingkat efektivitas pengelolahaan perusahaan. Profitabilitas sering digunakan dalam suatu perusahaan dengan membandingkan antara laba dan modal yang digunakan dalam operasi. Pemodal dapat menggunakan profitabilitas suatu perusahaan sebagai alat untuk mengukur modal yang ditanamkan perusahaan tersebut. </w:t>
      </w:r>
    </w:p>
    <w:p w:rsidR="0095203F" w:rsidRDefault="0095203F" w:rsidP="000743B8">
      <w:pPr>
        <w:autoSpaceDE w:val="0"/>
        <w:autoSpaceDN w:val="0"/>
        <w:adjustRightInd w:val="0"/>
        <w:jc w:val="both"/>
        <w:rPr>
          <w:sz w:val="24"/>
          <w:szCs w:val="24"/>
        </w:rPr>
      </w:pPr>
    </w:p>
    <w:p w:rsidR="000743B8" w:rsidRDefault="000743B8" w:rsidP="000743B8">
      <w:pPr>
        <w:autoSpaceDE w:val="0"/>
        <w:autoSpaceDN w:val="0"/>
        <w:adjustRightInd w:val="0"/>
        <w:jc w:val="both"/>
        <w:rPr>
          <w:sz w:val="24"/>
          <w:szCs w:val="24"/>
        </w:rPr>
      </w:pPr>
      <w:r w:rsidRPr="000743B8">
        <w:rPr>
          <w:sz w:val="24"/>
          <w:szCs w:val="24"/>
        </w:rPr>
        <w:t xml:space="preserve">Salah satu rasio yang umumnya digunakan sebagai pengukur kinerja keuangan perusahaan adalah </w:t>
      </w:r>
      <w:r w:rsidRPr="000743B8">
        <w:rPr>
          <w:i/>
          <w:iCs/>
          <w:sz w:val="24"/>
          <w:szCs w:val="24"/>
        </w:rPr>
        <w:t xml:space="preserve">Return On Assets </w:t>
      </w:r>
      <w:r w:rsidRPr="000743B8">
        <w:rPr>
          <w:sz w:val="24"/>
          <w:szCs w:val="24"/>
        </w:rPr>
        <w:t xml:space="preserve">(ROA) dan </w:t>
      </w:r>
      <w:r w:rsidRPr="000743B8">
        <w:rPr>
          <w:i/>
          <w:iCs/>
          <w:sz w:val="24"/>
          <w:szCs w:val="24"/>
        </w:rPr>
        <w:t xml:space="preserve">Return On Equity </w:t>
      </w:r>
      <w:r w:rsidRPr="000743B8">
        <w:rPr>
          <w:sz w:val="24"/>
          <w:szCs w:val="24"/>
        </w:rPr>
        <w:t xml:space="preserve">(ROE). Menurut </w:t>
      </w:r>
      <w:r w:rsidRPr="000743B8">
        <w:rPr>
          <w:sz w:val="24"/>
          <w:szCs w:val="24"/>
        </w:rPr>
        <w:lastRenderedPageBreak/>
        <w:t xml:space="preserve">Mardiyanto (2009:196) </w:t>
      </w:r>
      <w:r w:rsidRPr="000743B8">
        <w:rPr>
          <w:i/>
          <w:iCs/>
          <w:sz w:val="24"/>
          <w:szCs w:val="24"/>
        </w:rPr>
        <w:t xml:space="preserve">Return On Assets </w:t>
      </w:r>
      <w:r w:rsidRPr="000743B8">
        <w:rPr>
          <w:sz w:val="24"/>
          <w:szCs w:val="24"/>
        </w:rPr>
        <w:t>(ROA) merupakan rasio yang digunakan untuk mengukur kemampuan perusahaan dalam menghasilkan laba karena rasio tersebut mewakili pengembalian atas aktivitas perusahaan. Menurut Hery (2014:193) semakin tinggi hasil pengembalian atas aset berarti semakin tinggi pula jumlah laba bersih yang dihasilkan setiap rupiah dana yang tertanam dalam total aset. Sebaliknya, semakin rendah hasil pengembalian atas aset berarti semakin rendah pula jumlah laba bersih yang dihasilkan dari setiap rupiah dana yang tertanam dalam total aset tersebut.</w:t>
      </w:r>
    </w:p>
    <w:p w:rsidR="0095203F" w:rsidRPr="000743B8" w:rsidRDefault="0095203F" w:rsidP="000743B8">
      <w:pPr>
        <w:autoSpaceDE w:val="0"/>
        <w:autoSpaceDN w:val="0"/>
        <w:adjustRightInd w:val="0"/>
        <w:jc w:val="both"/>
        <w:rPr>
          <w:sz w:val="24"/>
          <w:szCs w:val="24"/>
        </w:rPr>
      </w:pPr>
    </w:p>
    <w:p w:rsidR="000743B8" w:rsidRDefault="000743B8" w:rsidP="000743B8">
      <w:pPr>
        <w:autoSpaceDE w:val="0"/>
        <w:autoSpaceDN w:val="0"/>
        <w:adjustRightInd w:val="0"/>
        <w:jc w:val="both"/>
        <w:rPr>
          <w:sz w:val="24"/>
          <w:szCs w:val="24"/>
        </w:rPr>
      </w:pPr>
      <w:r w:rsidRPr="000743B8">
        <w:rPr>
          <w:sz w:val="24"/>
          <w:szCs w:val="24"/>
        </w:rPr>
        <w:t>Selain menggunakan ROA untuk mengukur kinerja keuangan juga dapat</w:t>
      </w:r>
      <w:r w:rsidR="0095203F">
        <w:rPr>
          <w:sz w:val="24"/>
          <w:szCs w:val="24"/>
        </w:rPr>
        <w:t xml:space="preserve"> </w:t>
      </w:r>
      <w:r w:rsidRPr="000743B8">
        <w:rPr>
          <w:sz w:val="24"/>
          <w:szCs w:val="24"/>
        </w:rPr>
        <w:t xml:space="preserve">menggunakan </w:t>
      </w:r>
      <w:r w:rsidRPr="000743B8">
        <w:rPr>
          <w:i/>
          <w:iCs/>
          <w:sz w:val="24"/>
          <w:szCs w:val="24"/>
        </w:rPr>
        <w:t xml:space="preserve">Return On Equity </w:t>
      </w:r>
      <w:r w:rsidRPr="000743B8">
        <w:rPr>
          <w:sz w:val="24"/>
          <w:szCs w:val="24"/>
        </w:rPr>
        <w:t xml:space="preserve">(ROE). Menurut Kasmir (2012:204) </w:t>
      </w:r>
      <w:r w:rsidRPr="000743B8">
        <w:rPr>
          <w:i/>
          <w:iCs/>
          <w:sz w:val="24"/>
          <w:szCs w:val="24"/>
        </w:rPr>
        <w:t>Return On</w:t>
      </w:r>
      <w:r w:rsidR="0095203F">
        <w:rPr>
          <w:i/>
          <w:iCs/>
          <w:sz w:val="24"/>
          <w:szCs w:val="24"/>
        </w:rPr>
        <w:t xml:space="preserve"> </w:t>
      </w:r>
      <w:r w:rsidRPr="000743B8">
        <w:rPr>
          <w:i/>
          <w:iCs/>
          <w:sz w:val="24"/>
          <w:szCs w:val="24"/>
        </w:rPr>
        <w:t xml:space="preserve">Equity </w:t>
      </w:r>
      <w:r w:rsidRPr="000743B8">
        <w:rPr>
          <w:sz w:val="24"/>
          <w:szCs w:val="24"/>
        </w:rPr>
        <w:t>(ROE) atau hasil pengembalian ekuitas merupakan rasio untuk mengukur</w:t>
      </w:r>
      <w:r w:rsidR="0095203F">
        <w:rPr>
          <w:sz w:val="24"/>
          <w:szCs w:val="24"/>
        </w:rPr>
        <w:t xml:space="preserve"> </w:t>
      </w:r>
      <w:r w:rsidRPr="000743B8">
        <w:rPr>
          <w:sz w:val="24"/>
          <w:szCs w:val="24"/>
        </w:rPr>
        <w:t>laba bersih sesudah pajak dengan modal sendiri. Rasio ini menunjukan efisiensi</w:t>
      </w:r>
      <w:r w:rsidR="0095203F">
        <w:rPr>
          <w:sz w:val="24"/>
          <w:szCs w:val="24"/>
        </w:rPr>
        <w:t xml:space="preserve"> </w:t>
      </w:r>
      <w:r w:rsidRPr="000743B8">
        <w:rPr>
          <w:sz w:val="24"/>
          <w:szCs w:val="24"/>
        </w:rPr>
        <w:t>penggunaan modal sendiri. Semakin tinggi rasio ini maka semakin baik, artinya</w:t>
      </w:r>
      <w:r w:rsidR="0095203F">
        <w:rPr>
          <w:sz w:val="24"/>
          <w:szCs w:val="24"/>
        </w:rPr>
        <w:t xml:space="preserve"> </w:t>
      </w:r>
      <w:r w:rsidRPr="000743B8">
        <w:rPr>
          <w:sz w:val="24"/>
          <w:szCs w:val="24"/>
        </w:rPr>
        <w:t>posisi perusahaan semakin kuat demikian sebaliknya.</w:t>
      </w:r>
    </w:p>
    <w:p w:rsidR="0095203F" w:rsidRPr="000743B8" w:rsidRDefault="0095203F" w:rsidP="000743B8">
      <w:pPr>
        <w:autoSpaceDE w:val="0"/>
        <w:autoSpaceDN w:val="0"/>
        <w:adjustRightInd w:val="0"/>
        <w:jc w:val="both"/>
        <w:rPr>
          <w:sz w:val="24"/>
          <w:szCs w:val="24"/>
        </w:rPr>
      </w:pPr>
    </w:p>
    <w:p w:rsidR="0095203F" w:rsidRDefault="000743B8" w:rsidP="000743B8">
      <w:pPr>
        <w:autoSpaceDE w:val="0"/>
        <w:autoSpaceDN w:val="0"/>
        <w:adjustRightInd w:val="0"/>
        <w:jc w:val="both"/>
        <w:rPr>
          <w:sz w:val="24"/>
          <w:szCs w:val="24"/>
        </w:rPr>
      </w:pPr>
      <w:r w:rsidRPr="000743B8">
        <w:rPr>
          <w:sz w:val="24"/>
          <w:szCs w:val="24"/>
        </w:rPr>
        <w:t xml:space="preserve">PT. Surya Eka Lestari merupakan salah satu perusahaan yang dikelola oleh beberapa profesional yang telah menggeluti iklim bisnis di Indonesia. Dengan didasari pengalaman dibidang </w:t>
      </w:r>
      <w:r w:rsidRPr="000743B8">
        <w:rPr>
          <w:i/>
          <w:iCs/>
          <w:sz w:val="24"/>
          <w:szCs w:val="24"/>
        </w:rPr>
        <w:t>engineering</w:t>
      </w:r>
      <w:r w:rsidRPr="000743B8">
        <w:rPr>
          <w:sz w:val="24"/>
          <w:szCs w:val="24"/>
        </w:rPr>
        <w:t xml:space="preserve">, perdagangan umum dibidang jasa konstruksi </w:t>
      </w:r>
      <w:r w:rsidRPr="000743B8">
        <w:rPr>
          <w:i/>
          <w:iCs/>
          <w:sz w:val="24"/>
          <w:szCs w:val="24"/>
        </w:rPr>
        <w:t xml:space="preserve">(building material). </w:t>
      </w:r>
      <w:r w:rsidRPr="000743B8">
        <w:rPr>
          <w:sz w:val="24"/>
          <w:szCs w:val="24"/>
        </w:rPr>
        <w:t>Jasa konstruksi merupakan suatu kegiatan membangun sarana maupun prasarana. PT. Surya Eka Lestari diorentasikan terhadap penyedia barang (</w:t>
      </w:r>
      <w:r w:rsidRPr="000743B8">
        <w:rPr>
          <w:i/>
          <w:iCs/>
          <w:sz w:val="24"/>
          <w:szCs w:val="24"/>
        </w:rPr>
        <w:t>supplier</w:t>
      </w:r>
      <w:r w:rsidRPr="000743B8">
        <w:rPr>
          <w:sz w:val="24"/>
          <w:szCs w:val="24"/>
        </w:rPr>
        <w:t xml:space="preserve">) dan jasa baik yang dikerjakan sub kon maupun yang dikerjakan secara mandiri. Adapun sub bidang usaha seperti jasa pelaksana konstruksi bangunan multi/banyak hunian, jasa pelaksana untuk konstruksi bangunan gudang &amp; industri, jasa pelaksana bangunan komersil, jasa pelaksana bangunan pendidikan, dan jasa pelaksana bangunan gedung. </w:t>
      </w:r>
    </w:p>
    <w:p w:rsidR="0095203F" w:rsidRDefault="0095203F" w:rsidP="000743B8">
      <w:pPr>
        <w:autoSpaceDE w:val="0"/>
        <w:autoSpaceDN w:val="0"/>
        <w:adjustRightInd w:val="0"/>
        <w:jc w:val="both"/>
        <w:rPr>
          <w:sz w:val="24"/>
          <w:szCs w:val="24"/>
        </w:rPr>
      </w:pPr>
    </w:p>
    <w:p w:rsidR="000743B8" w:rsidRDefault="000743B8" w:rsidP="000743B8">
      <w:pPr>
        <w:autoSpaceDE w:val="0"/>
        <w:autoSpaceDN w:val="0"/>
        <w:adjustRightInd w:val="0"/>
        <w:jc w:val="both"/>
        <w:rPr>
          <w:sz w:val="24"/>
          <w:szCs w:val="24"/>
        </w:rPr>
      </w:pPr>
      <w:r w:rsidRPr="000743B8">
        <w:rPr>
          <w:sz w:val="24"/>
          <w:szCs w:val="24"/>
        </w:rPr>
        <w:t xml:space="preserve">Alasan dipilihnya </w:t>
      </w:r>
      <w:r w:rsidRPr="000743B8">
        <w:rPr>
          <w:i/>
          <w:iCs/>
          <w:sz w:val="24"/>
          <w:szCs w:val="24"/>
        </w:rPr>
        <w:t xml:space="preserve">Return On Assets </w:t>
      </w:r>
      <w:r w:rsidRPr="000743B8">
        <w:rPr>
          <w:sz w:val="24"/>
          <w:szCs w:val="24"/>
        </w:rPr>
        <w:t xml:space="preserve">(ROA) dan </w:t>
      </w:r>
      <w:r w:rsidRPr="000743B8">
        <w:rPr>
          <w:i/>
          <w:iCs/>
          <w:sz w:val="24"/>
          <w:szCs w:val="24"/>
        </w:rPr>
        <w:t xml:space="preserve">Return On Equity </w:t>
      </w:r>
      <w:r w:rsidRPr="000743B8">
        <w:rPr>
          <w:sz w:val="24"/>
          <w:szCs w:val="24"/>
        </w:rPr>
        <w:t xml:space="preserve">(ROE) sebagai ukuran </w:t>
      </w:r>
      <w:r w:rsidRPr="000743B8">
        <w:rPr>
          <w:sz w:val="24"/>
          <w:szCs w:val="24"/>
        </w:rPr>
        <w:lastRenderedPageBreak/>
        <w:t xml:space="preserve">kinerja keuangan karena rasio tersebut mewakili pengembalian atas aktivitas perusahaan. Menurut Mawardi (2005) </w:t>
      </w:r>
      <w:r w:rsidRPr="000743B8">
        <w:rPr>
          <w:i/>
          <w:iCs/>
          <w:sz w:val="24"/>
          <w:szCs w:val="24"/>
        </w:rPr>
        <w:t xml:space="preserve">Return On Assets </w:t>
      </w:r>
      <w:r w:rsidRPr="000743B8">
        <w:rPr>
          <w:sz w:val="24"/>
          <w:szCs w:val="24"/>
        </w:rPr>
        <w:t xml:space="preserve">(ROA) memfokuskan kemampuan perusahaan untuk memperoleh </w:t>
      </w:r>
      <w:r w:rsidRPr="000743B8">
        <w:rPr>
          <w:i/>
          <w:iCs/>
          <w:sz w:val="24"/>
          <w:szCs w:val="24"/>
        </w:rPr>
        <w:t xml:space="preserve">earning </w:t>
      </w:r>
      <w:r w:rsidRPr="000743B8">
        <w:rPr>
          <w:sz w:val="24"/>
          <w:szCs w:val="24"/>
        </w:rPr>
        <w:t xml:space="preserve">dalam keseluruhan operasi perusahaan, sedangkan </w:t>
      </w:r>
      <w:r w:rsidRPr="000743B8">
        <w:rPr>
          <w:i/>
          <w:iCs/>
          <w:sz w:val="24"/>
          <w:szCs w:val="24"/>
        </w:rPr>
        <w:t xml:space="preserve">Return On Equity </w:t>
      </w:r>
      <w:r w:rsidRPr="000743B8">
        <w:rPr>
          <w:sz w:val="24"/>
          <w:szCs w:val="24"/>
        </w:rPr>
        <w:t xml:space="preserve">(ROE) hanya mengukur </w:t>
      </w:r>
      <w:r w:rsidRPr="000743B8">
        <w:rPr>
          <w:i/>
          <w:iCs/>
          <w:sz w:val="24"/>
          <w:szCs w:val="24"/>
        </w:rPr>
        <w:t xml:space="preserve">return </w:t>
      </w:r>
      <w:r w:rsidRPr="000743B8">
        <w:rPr>
          <w:sz w:val="24"/>
          <w:szCs w:val="24"/>
        </w:rPr>
        <w:t>yang diperoleh dari investasi pemilik perusahaan dalam bisnis tersebut. Selain itu juga dapat dipakai sebagai alat untuk melihat apakah perusahaan tersebut masih dapat bertahan atau tidak di masa yang akan datang.</w:t>
      </w:r>
    </w:p>
    <w:p w:rsidR="0095203F" w:rsidRPr="000743B8" w:rsidRDefault="0095203F" w:rsidP="000743B8">
      <w:pPr>
        <w:autoSpaceDE w:val="0"/>
        <w:autoSpaceDN w:val="0"/>
        <w:adjustRightInd w:val="0"/>
        <w:jc w:val="both"/>
        <w:rPr>
          <w:sz w:val="24"/>
          <w:szCs w:val="24"/>
        </w:rPr>
      </w:pPr>
    </w:p>
    <w:p w:rsidR="000743B8" w:rsidRPr="00BC205C" w:rsidRDefault="000743B8" w:rsidP="000743B8">
      <w:pPr>
        <w:autoSpaceDE w:val="0"/>
        <w:autoSpaceDN w:val="0"/>
        <w:adjustRightInd w:val="0"/>
        <w:jc w:val="both"/>
      </w:pPr>
      <w:r w:rsidRPr="000743B8">
        <w:rPr>
          <w:sz w:val="24"/>
          <w:szCs w:val="24"/>
        </w:rPr>
        <w:t xml:space="preserve">Berdasarkan uraian diatas maka penulis melakukan penelitian yang berjudul : </w:t>
      </w:r>
      <w:r w:rsidRPr="000743B8">
        <w:rPr>
          <w:bCs/>
          <w:sz w:val="24"/>
          <w:szCs w:val="24"/>
        </w:rPr>
        <w:t xml:space="preserve">“Analisis Perkembangan </w:t>
      </w:r>
      <w:r w:rsidRPr="000743B8">
        <w:rPr>
          <w:bCs/>
          <w:i/>
          <w:iCs/>
          <w:sz w:val="24"/>
          <w:szCs w:val="24"/>
        </w:rPr>
        <w:t xml:space="preserve">Return On Assets </w:t>
      </w:r>
      <w:r w:rsidRPr="000743B8">
        <w:rPr>
          <w:bCs/>
          <w:sz w:val="24"/>
          <w:szCs w:val="24"/>
        </w:rPr>
        <w:t xml:space="preserve">(ROA) dan </w:t>
      </w:r>
      <w:r w:rsidRPr="000743B8">
        <w:rPr>
          <w:bCs/>
          <w:i/>
          <w:iCs/>
          <w:sz w:val="24"/>
          <w:szCs w:val="24"/>
        </w:rPr>
        <w:t xml:space="preserve">Return On Equity </w:t>
      </w:r>
      <w:r w:rsidRPr="000743B8">
        <w:rPr>
          <w:bCs/>
          <w:sz w:val="24"/>
          <w:szCs w:val="24"/>
        </w:rPr>
        <w:t xml:space="preserve">(ROE) Untuk Mengukur Kinerja Keuangan Pada PT. </w:t>
      </w:r>
      <w:r w:rsidRPr="000743B8">
        <w:rPr>
          <w:sz w:val="24"/>
          <w:szCs w:val="24"/>
        </w:rPr>
        <w:t xml:space="preserve">Surya Eka Lestari </w:t>
      </w:r>
      <w:r w:rsidRPr="000743B8">
        <w:rPr>
          <w:bCs/>
          <w:sz w:val="24"/>
          <w:szCs w:val="24"/>
        </w:rPr>
        <w:t>Ogan Komering Ulu”.</w:t>
      </w:r>
    </w:p>
    <w:p w:rsidR="000743B8" w:rsidRDefault="000743B8" w:rsidP="00627912">
      <w:pPr>
        <w:rPr>
          <w:b/>
          <w:color w:val="000000" w:themeColor="text1"/>
          <w:sz w:val="28"/>
        </w:rPr>
      </w:pPr>
    </w:p>
    <w:p w:rsidR="00627912" w:rsidRPr="00627912" w:rsidRDefault="00AB37F2" w:rsidP="00627912">
      <w:pPr>
        <w:rPr>
          <w:b/>
          <w:color w:val="000000" w:themeColor="text1"/>
          <w:sz w:val="28"/>
          <w:szCs w:val="28"/>
          <w:lang w:val="id-ID"/>
        </w:rPr>
      </w:pPr>
      <w:r w:rsidRPr="00627912">
        <w:rPr>
          <w:b/>
          <w:color w:val="000000" w:themeColor="text1"/>
          <w:sz w:val="28"/>
          <w:lang w:val="id-ID"/>
        </w:rPr>
        <w:t>Kajian Literatur</w:t>
      </w:r>
    </w:p>
    <w:p w:rsidR="00254043" w:rsidRDefault="00254043" w:rsidP="0006085F">
      <w:pPr>
        <w:autoSpaceDE w:val="0"/>
        <w:autoSpaceDN w:val="0"/>
        <w:adjustRightInd w:val="0"/>
        <w:jc w:val="both"/>
        <w:rPr>
          <w:sz w:val="24"/>
          <w:szCs w:val="24"/>
        </w:rPr>
      </w:pPr>
      <w:r w:rsidRPr="00254043">
        <w:rPr>
          <w:sz w:val="24"/>
          <w:szCs w:val="24"/>
        </w:rPr>
        <w:t>Analisis ROA dalam analisis keuangan mempunyai arti yang sangat penting karena merupakan salah satu teknik yang bersifat menyeluruh (</w:t>
      </w:r>
      <w:r w:rsidRPr="00254043">
        <w:rPr>
          <w:i/>
          <w:iCs/>
          <w:sz w:val="24"/>
          <w:szCs w:val="24"/>
        </w:rPr>
        <w:t>comprehensive</w:t>
      </w:r>
      <w:r w:rsidRPr="00254043">
        <w:rPr>
          <w:sz w:val="24"/>
          <w:szCs w:val="24"/>
        </w:rPr>
        <w:t xml:space="preserve">). Analisis ROA merupakan teknik analisis yang lazim digunakan untuk mengukur tingkat efektifitas dari keseluruhan operasi perusahaan. </w:t>
      </w:r>
    </w:p>
    <w:p w:rsidR="0095203F" w:rsidRPr="00254043" w:rsidRDefault="0095203F" w:rsidP="0006085F">
      <w:pPr>
        <w:autoSpaceDE w:val="0"/>
        <w:autoSpaceDN w:val="0"/>
        <w:adjustRightInd w:val="0"/>
        <w:jc w:val="both"/>
        <w:rPr>
          <w:sz w:val="24"/>
          <w:szCs w:val="24"/>
        </w:rPr>
      </w:pPr>
    </w:p>
    <w:p w:rsidR="001F1757" w:rsidRDefault="00254043" w:rsidP="00254043">
      <w:pPr>
        <w:autoSpaceDE w:val="0"/>
        <w:autoSpaceDN w:val="0"/>
        <w:adjustRightInd w:val="0"/>
        <w:jc w:val="both"/>
        <w:rPr>
          <w:sz w:val="24"/>
          <w:szCs w:val="24"/>
        </w:rPr>
      </w:pPr>
      <w:r w:rsidRPr="00254043">
        <w:rPr>
          <w:sz w:val="24"/>
          <w:szCs w:val="24"/>
        </w:rPr>
        <w:t xml:space="preserve">Kasmir (2012:202) </w:t>
      </w:r>
      <w:r w:rsidRPr="00254043">
        <w:rPr>
          <w:i/>
          <w:iCs/>
          <w:sz w:val="24"/>
          <w:szCs w:val="24"/>
        </w:rPr>
        <w:t xml:space="preserve">Return On Assets </w:t>
      </w:r>
      <w:r w:rsidRPr="00254043">
        <w:rPr>
          <w:sz w:val="24"/>
          <w:szCs w:val="24"/>
        </w:rPr>
        <w:t>(ROA) adalah rasio yang menunjukan hasil (</w:t>
      </w:r>
      <w:r w:rsidRPr="00254043">
        <w:rPr>
          <w:i/>
          <w:iCs/>
          <w:sz w:val="24"/>
          <w:szCs w:val="24"/>
        </w:rPr>
        <w:t>return</w:t>
      </w:r>
      <w:r w:rsidRPr="00254043">
        <w:rPr>
          <w:sz w:val="24"/>
          <w:szCs w:val="24"/>
        </w:rPr>
        <w:t xml:space="preserve">) atas jumlah aktiva yang digunakan dalam perusahaan. Selain itu ROA memberikan suatu ukuran tentang efektivitas manajemen dalam mengelola investasinya. Dan Hery (2014) </w:t>
      </w:r>
      <w:r w:rsidRPr="00254043">
        <w:rPr>
          <w:i/>
          <w:iCs/>
          <w:sz w:val="24"/>
          <w:szCs w:val="24"/>
        </w:rPr>
        <w:t xml:space="preserve">Return On Assets </w:t>
      </w:r>
      <w:r w:rsidRPr="00254043">
        <w:rPr>
          <w:sz w:val="24"/>
          <w:szCs w:val="24"/>
        </w:rPr>
        <w:t xml:space="preserve">(ROA) merupakan rasio yang menunjukan seberapa besar kontribusi aset dalam menciptakan laba bersih. Dengan kata lain, rasio ini digunakan untuk mengukur seberapa besar jumlah laba bersih yang akan dihasilkan dari setiap rupiah dana yang tertanam dalam total aset. Semakin besar ROA maka semakin besar pula tingkat keuntungan yang dicapai oleh perusahaan tersebut dan semakin baik pula posisi perusahaan tersebut dari segi penggunaan </w:t>
      </w:r>
      <w:r w:rsidRPr="00254043">
        <w:rPr>
          <w:i/>
          <w:iCs/>
          <w:sz w:val="24"/>
          <w:szCs w:val="24"/>
        </w:rPr>
        <w:t>assets</w:t>
      </w:r>
      <w:r w:rsidRPr="00254043">
        <w:rPr>
          <w:sz w:val="24"/>
          <w:szCs w:val="24"/>
        </w:rPr>
        <w:t xml:space="preserve">. </w:t>
      </w:r>
    </w:p>
    <w:p w:rsidR="001F1757" w:rsidRDefault="001F1757" w:rsidP="00254043">
      <w:pPr>
        <w:autoSpaceDE w:val="0"/>
        <w:autoSpaceDN w:val="0"/>
        <w:adjustRightInd w:val="0"/>
        <w:jc w:val="both"/>
        <w:rPr>
          <w:sz w:val="24"/>
          <w:szCs w:val="24"/>
        </w:rPr>
      </w:pPr>
    </w:p>
    <w:p w:rsidR="001F1757" w:rsidRDefault="001F1757" w:rsidP="001F1757">
      <w:pPr>
        <w:autoSpaceDE w:val="0"/>
        <w:autoSpaceDN w:val="0"/>
        <w:adjustRightInd w:val="0"/>
        <w:jc w:val="both"/>
        <w:rPr>
          <w:color w:val="000000"/>
          <w:sz w:val="24"/>
          <w:szCs w:val="24"/>
        </w:rPr>
      </w:pPr>
      <w:r>
        <w:rPr>
          <w:color w:val="000000"/>
          <w:sz w:val="24"/>
          <w:szCs w:val="24"/>
        </w:rPr>
        <w:lastRenderedPageBreak/>
        <w:t>Menurut Munawir (2007), Return on Assets merupakan rasio keuangan perusahaan yang berhubungan dengan profitabilitas mengukur kemampuan perusahaan menghasilkan keuntungan atau laba pada tingkat pendaptan, aset, dan modal saham tertentu.</w:t>
      </w:r>
    </w:p>
    <w:p w:rsidR="001F1757" w:rsidRDefault="001F1757" w:rsidP="001F1757">
      <w:pPr>
        <w:autoSpaceDE w:val="0"/>
        <w:autoSpaceDN w:val="0"/>
        <w:adjustRightInd w:val="0"/>
        <w:jc w:val="both"/>
        <w:rPr>
          <w:color w:val="000000"/>
          <w:sz w:val="24"/>
          <w:szCs w:val="24"/>
        </w:rPr>
      </w:pPr>
    </w:p>
    <w:p w:rsidR="001F1757" w:rsidRPr="001F1757" w:rsidRDefault="001F1757" w:rsidP="001F1757">
      <w:pPr>
        <w:autoSpaceDE w:val="0"/>
        <w:autoSpaceDN w:val="0"/>
        <w:adjustRightInd w:val="0"/>
        <w:jc w:val="both"/>
        <w:rPr>
          <w:color w:val="000000"/>
          <w:sz w:val="24"/>
          <w:szCs w:val="24"/>
        </w:rPr>
      </w:pPr>
      <w:r>
        <w:rPr>
          <w:color w:val="000000"/>
          <w:sz w:val="24"/>
          <w:szCs w:val="24"/>
        </w:rPr>
        <w:t xml:space="preserve">Abdullah (2005) menyatakan bahwa </w:t>
      </w:r>
      <w:r w:rsidRPr="00A622AD">
        <w:rPr>
          <w:i/>
          <w:color w:val="000000"/>
          <w:sz w:val="24"/>
          <w:szCs w:val="24"/>
        </w:rPr>
        <w:t>Return On Assets</w:t>
      </w:r>
      <w:r>
        <w:rPr>
          <w:i/>
          <w:color w:val="000000"/>
          <w:sz w:val="24"/>
          <w:szCs w:val="24"/>
        </w:rPr>
        <w:t xml:space="preserve"> </w:t>
      </w:r>
      <w:r>
        <w:rPr>
          <w:color w:val="000000"/>
          <w:sz w:val="24"/>
          <w:szCs w:val="24"/>
        </w:rPr>
        <w:t xml:space="preserve">adalah rasio yang mengukur efektivitas perusahaan di dalam menghasilkan keuntungan dengan memanfaatkan aktiva yang dimiliki perusahaan. </w:t>
      </w:r>
    </w:p>
    <w:p w:rsidR="001F1757" w:rsidRDefault="001F1757" w:rsidP="00254043">
      <w:pPr>
        <w:autoSpaceDE w:val="0"/>
        <w:autoSpaceDN w:val="0"/>
        <w:adjustRightInd w:val="0"/>
        <w:jc w:val="both"/>
        <w:rPr>
          <w:sz w:val="24"/>
          <w:szCs w:val="24"/>
        </w:rPr>
      </w:pPr>
    </w:p>
    <w:p w:rsidR="00254043" w:rsidRPr="00254043" w:rsidRDefault="001F1757" w:rsidP="00254043">
      <w:pPr>
        <w:autoSpaceDE w:val="0"/>
        <w:autoSpaceDN w:val="0"/>
        <w:adjustRightInd w:val="0"/>
        <w:jc w:val="both"/>
        <w:rPr>
          <w:sz w:val="24"/>
          <w:szCs w:val="24"/>
        </w:rPr>
      </w:pPr>
      <w:r>
        <w:rPr>
          <w:sz w:val="24"/>
          <w:szCs w:val="24"/>
        </w:rPr>
        <w:t>Berdasarkan pendapat di atas, maka d</w:t>
      </w:r>
      <w:r w:rsidR="00254043" w:rsidRPr="00254043">
        <w:rPr>
          <w:sz w:val="24"/>
          <w:szCs w:val="24"/>
        </w:rPr>
        <w:t xml:space="preserve">apat disimpulkan bahwa </w:t>
      </w:r>
      <w:r w:rsidR="00254043" w:rsidRPr="00254043">
        <w:rPr>
          <w:i/>
          <w:iCs/>
          <w:sz w:val="24"/>
          <w:szCs w:val="24"/>
        </w:rPr>
        <w:t xml:space="preserve">Return On Assets </w:t>
      </w:r>
      <w:r w:rsidR="00254043" w:rsidRPr="00254043">
        <w:rPr>
          <w:sz w:val="24"/>
          <w:szCs w:val="24"/>
        </w:rPr>
        <w:t xml:space="preserve">(ROA) adalah rasio yang digunakan perusahaan untuk mengukur kemampuan perusahaan dalam memperoleh laba bersih dari pengelolahaan aset yang telah dimiliki. </w:t>
      </w:r>
    </w:p>
    <w:p w:rsidR="0095203F" w:rsidRDefault="0095203F" w:rsidP="00254043">
      <w:pPr>
        <w:autoSpaceDE w:val="0"/>
        <w:autoSpaceDN w:val="0"/>
        <w:adjustRightInd w:val="0"/>
        <w:jc w:val="both"/>
        <w:rPr>
          <w:sz w:val="24"/>
          <w:szCs w:val="24"/>
        </w:rPr>
      </w:pPr>
    </w:p>
    <w:p w:rsidR="00254043" w:rsidRDefault="00254043" w:rsidP="00254043">
      <w:pPr>
        <w:autoSpaceDE w:val="0"/>
        <w:autoSpaceDN w:val="0"/>
        <w:adjustRightInd w:val="0"/>
        <w:jc w:val="both"/>
        <w:rPr>
          <w:sz w:val="24"/>
          <w:szCs w:val="24"/>
        </w:rPr>
      </w:pPr>
      <w:r w:rsidRPr="00254043">
        <w:rPr>
          <w:sz w:val="24"/>
          <w:szCs w:val="24"/>
        </w:rPr>
        <w:t>Semakin tinggi rasio ini maka semakin baik prduktivitas aset dalam memperoleh keuntungan bersih. Dengan mengetahui ROA kita dapat menilai apakah perusahaan telah efisien dalam menggunakan aktivanya dalam kegiatan operasi untuk menghasilkan keuntungan. Laba bersih (</w:t>
      </w:r>
      <w:r w:rsidRPr="00254043">
        <w:rPr>
          <w:i/>
          <w:iCs/>
          <w:sz w:val="24"/>
          <w:szCs w:val="24"/>
        </w:rPr>
        <w:t>net income</w:t>
      </w:r>
      <w:r w:rsidRPr="00254043">
        <w:rPr>
          <w:sz w:val="24"/>
          <w:szCs w:val="24"/>
        </w:rPr>
        <w:t xml:space="preserve">) merupakan ukuran pokok keseluruhan keberhasilan perusahaan. ROA dapat membantu perusahaan yang telah menjalankan praktik akuntansi dengan baik untuk mengukur efisiensi penggunaan modal yang menyeluruh terhadap setiap hal yang mempengaruhi keadaan keuangan perusahaan sehingga dapat diketahui posisi perusahaan terhadap industri. </w:t>
      </w:r>
    </w:p>
    <w:p w:rsidR="0095203F" w:rsidRPr="00254043" w:rsidRDefault="0095203F" w:rsidP="00254043">
      <w:pPr>
        <w:autoSpaceDE w:val="0"/>
        <w:autoSpaceDN w:val="0"/>
        <w:adjustRightInd w:val="0"/>
        <w:jc w:val="both"/>
        <w:rPr>
          <w:sz w:val="24"/>
          <w:szCs w:val="24"/>
        </w:rPr>
      </w:pPr>
    </w:p>
    <w:p w:rsidR="00254043" w:rsidRDefault="00254043" w:rsidP="0006085F">
      <w:pPr>
        <w:autoSpaceDE w:val="0"/>
        <w:autoSpaceDN w:val="0"/>
        <w:adjustRightInd w:val="0"/>
        <w:jc w:val="both"/>
        <w:outlineLvl w:val="0"/>
        <w:rPr>
          <w:sz w:val="24"/>
          <w:szCs w:val="24"/>
        </w:rPr>
      </w:pPr>
      <w:r w:rsidRPr="00254043">
        <w:rPr>
          <w:sz w:val="24"/>
          <w:szCs w:val="24"/>
        </w:rPr>
        <w:t>Ras</w:t>
      </w:r>
      <w:r>
        <w:rPr>
          <w:sz w:val="24"/>
          <w:szCs w:val="24"/>
        </w:rPr>
        <w:t xml:space="preserve">io profitabilitas ini digunakan </w:t>
      </w:r>
      <w:r w:rsidRPr="00254043">
        <w:rPr>
          <w:sz w:val="24"/>
          <w:szCs w:val="24"/>
        </w:rPr>
        <w:t>untuk menganalisis serta untuk mengetahui informasi kesehatan suatu perusahaan. Munawir (200</w:t>
      </w:r>
      <w:r w:rsidR="007A05E3">
        <w:rPr>
          <w:sz w:val="24"/>
          <w:szCs w:val="24"/>
        </w:rPr>
        <w:t>4</w:t>
      </w:r>
      <w:r w:rsidRPr="00254043">
        <w:rPr>
          <w:sz w:val="24"/>
          <w:szCs w:val="24"/>
        </w:rPr>
        <w:t>) keleb</w:t>
      </w:r>
      <w:r>
        <w:rPr>
          <w:sz w:val="24"/>
          <w:szCs w:val="24"/>
        </w:rPr>
        <w:t xml:space="preserve">ihan analisis rasio ROA yaitu Sifatnya yang menyeluruh, </w:t>
      </w:r>
      <w:r w:rsidRPr="00254043">
        <w:rPr>
          <w:sz w:val="24"/>
          <w:szCs w:val="24"/>
        </w:rPr>
        <w:t xml:space="preserve">dapat digunakan untuk mengukur efisiensi tindakan yang </w:t>
      </w:r>
      <w:r>
        <w:rPr>
          <w:sz w:val="24"/>
          <w:szCs w:val="24"/>
        </w:rPr>
        <w:t xml:space="preserve">dilakukan oleh divisi/bagian, </w:t>
      </w:r>
      <w:r w:rsidRPr="00254043">
        <w:rPr>
          <w:sz w:val="24"/>
          <w:szCs w:val="24"/>
        </w:rPr>
        <w:t>juga dapat digunakan untuk mengukur profitabilitas dari masing-masing pr</w:t>
      </w:r>
      <w:r>
        <w:rPr>
          <w:sz w:val="24"/>
          <w:szCs w:val="24"/>
        </w:rPr>
        <w:t>oduk yang dihasilkan perusahaan dan</w:t>
      </w:r>
      <w:r w:rsidRPr="00254043">
        <w:rPr>
          <w:sz w:val="24"/>
          <w:szCs w:val="24"/>
        </w:rPr>
        <w:t>berguna untuk keperluan kontrol, juga berguna untuk keperluan perencanaan.</w:t>
      </w:r>
    </w:p>
    <w:p w:rsidR="0095203F" w:rsidRPr="00254043" w:rsidRDefault="0095203F" w:rsidP="0006085F">
      <w:pPr>
        <w:autoSpaceDE w:val="0"/>
        <w:autoSpaceDN w:val="0"/>
        <w:adjustRightInd w:val="0"/>
        <w:jc w:val="both"/>
        <w:outlineLvl w:val="0"/>
        <w:rPr>
          <w:b/>
          <w:bCs/>
          <w:sz w:val="24"/>
          <w:szCs w:val="24"/>
        </w:rPr>
      </w:pPr>
    </w:p>
    <w:p w:rsidR="00254043" w:rsidRDefault="00254043" w:rsidP="00254043">
      <w:pPr>
        <w:autoSpaceDE w:val="0"/>
        <w:autoSpaceDN w:val="0"/>
        <w:adjustRightInd w:val="0"/>
        <w:jc w:val="both"/>
        <w:rPr>
          <w:sz w:val="24"/>
          <w:szCs w:val="24"/>
        </w:rPr>
      </w:pPr>
      <w:r w:rsidRPr="00254043">
        <w:rPr>
          <w:sz w:val="24"/>
          <w:szCs w:val="24"/>
        </w:rPr>
        <w:t xml:space="preserve">Hery (2014) </w:t>
      </w:r>
      <w:r w:rsidRPr="00254043">
        <w:rPr>
          <w:i/>
          <w:iCs/>
          <w:sz w:val="24"/>
          <w:szCs w:val="24"/>
        </w:rPr>
        <w:t xml:space="preserve">Return On Equity </w:t>
      </w:r>
      <w:r w:rsidRPr="00254043">
        <w:rPr>
          <w:sz w:val="24"/>
          <w:szCs w:val="24"/>
        </w:rPr>
        <w:t xml:space="preserve">(ROE) merupakan hasil pengembalian atas ekuitas merupakan rasio yang menunjukan seberapa besar kontribusi ekuitas dalam menciptakan laba bersih. Rasio ini dihitung dengan membagi laba bersih terhadap ekuitas. Sedangkan, Fahmi (2012) ROE adalah rasio yang digunakan untuk mengkaji sejauh mana suatu perusahaan mempergunakan sumber daya yang mengkaji sejauh mana suatu perusahaan mempergunakan sumber daya yang dimilik untuk mampu memberikan laba atas ekuitas. </w:t>
      </w:r>
    </w:p>
    <w:p w:rsidR="0095203F" w:rsidRDefault="0095203F" w:rsidP="00254043">
      <w:pPr>
        <w:autoSpaceDE w:val="0"/>
        <w:autoSpaceDN w:val="0"/>
        <w:adjustRightInd w:val="0"/>
        <w:jc w:val="both"/>
        <w:rPr>
          <w:sz w:val="24"/>
          <w:szCs w:val="24"/>
        </w:rPr>
      </w:pPr>
    </w:p>
    <w:p w:rsidR="001F1757" w:rsidRDefault="001F1757" w:rsidP="00254043">
      <w:pPr>
        <w:autoSpaceDE w:val="0"/>
        <w:autoSpaceDN w:val="0"/>
        <w:adjustRightInd w:val="0"/>
        <w:jc w:val="both"/>
        <w:rPr>
          <w:sz w:val="24"/>
          <w:szCs w:val="24"/>
        </w:rPr>
      </w:pPr>
      <w:r>
        <w:rPr>
          <w:sz w:val="24"/>
          <w:szCs w:val="24"/>
        </w:rPr>
        <w:t xml:space="preserve">Menurut Tandelilin (2001) menyatakan bahwa </w:t>
      </w:r>
      <w:r w:rsidRPr="001F1757">
        <w:rPr>
          <w:i/>
          <w:sz w:val="24"/>
          <w:szCs w:val="24"/>
        </w:rPr>
        <w:t>Return On Equity</w:t>
      </w:r>
      <w:r>
        <w:rPr>
          <w:sz w:val="24"/>
          <w:szCs w:val="24"/>
        </w:rPr>
        <w:t xml:space="preserve"> menggambarkan sejauh mana kemampuan perusahaan menghasilkan laba yang bisa diperoleh pemegang saham. Sementara menurut bahwa Return On Equity adalah mengukur kemampuan perusahaan menghasilkan laba bersih berdasarkan modal tertentu.</w:t>
      </w:r>
    </w:p>
    <w:p w:rsidR="001F1757" w:rsidRPr="00254043" w:rsidRDefault="001F1757" w:rsidP="00254043">
      <w:pPr>
        <w:autoSpaceDE w:val="0"/>
        <w:autoSpaceDN w:val="0"/>
        <w:adjustRightInd w:val="0"/>
        <w:jc w:val="both"/>
        <w:rPr>
          <w:sz w:val="24"/>
          <w:szCs w:val="24"/>
        </w:rPr>
      </w:pPr>
    </w:p>
    <w:p w:rsidR="00254043" w:rsidRDefault="00254043" w:rsidP="00254043">
      <w:pPr>
        <w:autoSpaceDE w:val="0"/>
        <w:autoSpaceDN w:val="0"/>
        <w:adjustRightInd w:val="0"/>
        <w:jc w:val="both"/>
        <w:rPr>
          <w:sz w:val="24"/>
          <w:szCs w:val="24"/>
        </w:rPr>
      </w:pPr>
      <w:r>
        <w:rPr>
          <w:sz w:val="24"/>
          <w:szCs w:val="24"/>
        </w:rPr>
        <w:t>M</w:t>
      </w:r>
      <w:r w:rsidRPr="00254043">
        <w:rPr>
          <w:sz w:val="24"/>
          <w:szCs w:val="24"/>
        </w:rPr>
        <w:t>unawir (2010</w:t>
      </w:r>
      <w:r>
        <w:rPr>
          <w:sz w:val="24"/>
          <w:szCs w:val="24"/>
        </w:rPr>
        <w:t>)</w:t>
      </w:r>
      <w:r w:rsidRPr="00254043">
        <w:rPr>
          <w:sz w:val="24"/>
          <w:szCs w:val="24"/>
        </w:rPr>
        <w:t xml:space="preserve"> kinerja keuangan perusahaan merupakan satu diantara dasar penilaian mengenai kondisi keuangan perusahaan yang dilakukan berdasarkan analisa terhadap rasio keuangan perusahaan. Pihak yang berkepentingan sangat memerlukan hasil dari pengukuran kinerja keuangan perusahaan untuk dapat melihat kondisi perusahaan dan tingkat keberhasilan perusahaan dalam menjalankan kegiatan operasionalnya. Sawir (2003) dalam menilai kinerja keuangan yang menggunakan analisis rasio keuangan perlu diketahui standar rasio keuangan tersebut. Yuwono, Sukarno, dan Ichsan (2003) dengan adanya standar rasio keuangan, perusahaan dapat menentukan apakah kinerja keuangannya baik atau tidak. Penilaian ini dilakukan dengan membandingkan rasio keuangan yang diperoleh dengan standar rasio keuangan yang ada. Pada umumnya, kinerja keuangan perusahaan dikategorikan baik jika besarnya rasio keuangan perusahaan bernilai sama dengan atau di atas standar rasio keuangan.</w:t>
      </w:r>
    </w:p>
    <w:p w:rsidR="0095203F" w:rsidRPr="00254043" w:rsidRDefault="0095203F" w:rsidP="00254043">
      <w:pPr>
        <w:autoSpaceDE w:val="0"/>
        <w:autoSpaceDN w:val="0"/>
        <w:adjustRightInd w:val="0"/>
        <w:jc w:val="both"/>
        <w:rPr>
          <w:sz w:val="24"/>
          <w:szCs w:val="24"/>
        </w:rPr>
      </w:pPr>
    </w:p>
    <w:p w:rsidR="00254043" w:rsidRPr="00254043" w:rsidRDefault="00254043" w:rsidP="00254043">
      <w:pPr>
        <w:jc w:val="both"/>
        <w:rPr>
          <w:rStyle w:val="Strong"/>
          <w:color w:val="000000" w:themeColor="text1"/>
          <w:sz w:val="24"/>
          <w:szCs w:val="24"/>
        </w:rPr>
      </w:pPr>
      <w:r w:rsidRPr="00254043">
        <w:rPr>
          <w:sz w:val="24"/>
          <w:szCs w:val="24"/>
        </w:rPr>
        <w:lastRenderedPageBreak/>
        <w:t>Munawir (2010) selain membandingkan rasio keuangan dengan standar rasio, kinerja keuangan juga dapat dinilai dengan membandingkan rasio keuangan tahun yang dinilai dengan rasio keuangan pada tahun-tahun sebelumnya. Dengan membandingkan rasio keuangan pada beberapa tahun penilaian dapat dilihat bagaimana kemajuan ataupun kemunduran kinerja keuangan sesuai dengan kegunaan masing-masing rasio tersebut</w:t>
      </w:r>
    </w:p>
    <w:p w:rsidR="00254043" w:rsidRPr="00254043" w:rsidRDefault="00254043" w:rsidP="00627912">
      <w:pPr>
        <w:rPr>
          <w:rStyle w:val="Strong"/>
          <w:color w:val="000000" w:themeColor="text1"/>
          <w:sz w:val="24"/>
          <w:szCs w:val="24"/>
        </w:rPr>
      </w:pPr>
    </w:p>
    <w:p w:rsidR="00254043" w:rsidRPr="00254043" w:rsidRDefault="00254043" w:rsidP="00627912">
      <w:pPr>
        <w:rPr>
          <w:rStyle w:val="Strong"/>
          <w:color w:val="000000" w:themeColor="text1"/>
          <w:sz w:val="24"/>
          <w:szCs w:val="24"/>
        </w:rPr>
      </w:pPr>
    </w:p>
    <w:p w:rsidR="00627912" w:rsidRPr="00627912" w:rsidRDefault="00AB37F2" w:rsidP="00627912">
      <w:pPr>
        <w:rPr>
          <w:b/>
          <w:bCs/>
          <w:color w:val="000000" w:themeColor="text1"/>
          <w:sz w:val="24"/>
          <w:szCs w:val="24"/>
          <w:lang w:val="id-ID"/>
        </w:rPr>
      </w:pPr>
      <w:r w:rsidRPr="00627912">
        <w:rPr>
          <w:rStyle w:val="Strong"/>
          <w:color w:val="000000" w:themeColor="text1"/>
          <w:sz w:val="28"/>
          <w:szCs w:val="24"/>
          <w:lang w:val="id-ID"/>
        </w:rPr>
        <w:t>Metode Penelitian</w:t>
      </w:r>
    </w:p>
    <w:p w:rsidR="00FD3826" w:rsidRDefault="00FD3826" w:rsidP="00FD3826">
      <w:pPr>
        <w:autoSpaceDE w:val="0"/>
        <w:autoSpaceDN w:val="0"/>
        <w:adjustRightInd w:val="0"/>
        <w:jc w:val="both"/>
        <w:rPr>
          <w:sz w:val="24"/>
          <w:szCs w:val="24"/>
        </w:rPr>
      </w:pPr>
      <w:r w:rsidRPr="00FD3826">
        <w:rPr>
          <w:sz w:val="24"/>
          <w:szCs w:val="24"/>
        </w:rPr>
        <w:t>Jenis data yang digunakan dalam penelitian ini adalah Data Kualitatif dan</w:t>
      </w:r>
      <w:r>
        <w:rPr>
          <w:sz w:val="24"/>
          <w:szCs w:val="24"/>
        </w:rPr>
        <w:t xml:space="preserve"> </w:t>
      </w:r>
      <w:r w:rsidRPr="00FD3826">
        <w:rPr>
          <w:sz w:val="24"/>
          <w:szCs w:val="24"/>
        </w:rPr>
        <w:t>Data Kuanitatif. Data Kualitatif diperoleh dari PT. Surya Eka Lestari Ogan komering Ulu dalam bentuk informasi yang bukan dalam bentuk angka-angka tetapi dalam bentuk lisan dan tertulis. Data kualitatif ini seperti sejarah berdirinya, visi dan misi perusahaan, struktur organisasi, dan pembagian tugas dan tanggung jawab masing-masing bagian dalam PT. Surya Eka Lestari Ogan komering Ulu.</w:t>
      </w:r>
    </w:p>
    <w:p w:rsidR="0095203F" w:rsidRPr="00FD3826" w:rsidRDefault="0095203F" w:rsidP="00FD3826">
      <w:pPr>
        <w:autoSpaceDE w:val="0"/>
        <w:autoSpaceDN w:val="0"/>
        <w:adjustRightInd w:val="0"/>
        <w:jc w:val="both"/>
        <w:rPr>
          <w:sz w:val="24"/>
          <w:szCs w:val="24"/>
        </w:rPr>
      </w:pPr>
    </w:p>
    <w:p w:rsidR="00FD3826" w:rsidRDefault="00FD3826" w:rsidP="00FD3826">
      <w:pPr>
        <w:autoSpaceDE w:val="0"/>
        <w:autoSpaceDN w:val="0"/>
        <w:adjustRightInd w:val="0"/>
        <w:jc w:val="both"/>
        <w:rPr>
          <w:sz w:val="24"/>
          <w:szCs w:val="24"/>
        </w:rPr>
      </w:pPr>
      <w:r w:rsidRPr="00FD3826">
        <w:rPr>
          <w:sz w:val="24"/>
          <w:szCs w:val="24"/>
        </w:rPr>
        <w:t>Data Kuantitatif ini berupa angka atau bilangan yang absolut dapat dikumpulkan dan dibaca relative lebih mudah. Datanya berupa laporan keuangan PT. Surya Eka Lestari Ulu selama 5 tahun, yaitu terdiri dari tahun 2013 sampai 2017.</w:t>
      </w:r>
    </w:p>
    <w:p w:rsidR="0095203F" w:rsidRPr="00FD3826" w:rsidRDefault="0095203F" w:rsidP="00FD3826">
      <w:pPr>
        <w:autoSpaceDE w:val="0"/>
        <w:autoSpaceDN w:val="0"/>
        <w:adjustRightInd w:val="0"/>
        <w:jc w:val="both"/>
        <w:rPr>
          <w:sz w:val="24"/>
          <w:szCs w:val="24"/>
        </w:rPr>
      </w:pPr>
    </w:p>
    <w:p w:rsidR="00FD3826" w:rsidRDefault="00FD3826" w:rsidP="0006085F">
      <w:pPr>
        <w:autoSpaceDE w:val="0"/>
        <w:autoSpaceDN w:val="0"/>
        <w:adjustRightInd w:val="0"/>
        <w:jc w:val="both"/>
        <w:rPr>
          <w:sz w:val="24"/>
          <w:szCs w:val="24"/>
        </w:rPr>
      </w:pPr>
      <w:r w:rsidRPr="00FD3826">
        <w:rPr>
          <w:sz w:val="24"/>
          <w:szCs w:val="24"/>
        </w:rPr>
        <w:t>Sunyoto (2013:21) dalam suatu penelitian terdapat</w:t>
      </w:r>
      <w:r>
        <w:rPr>
          <w:sz w:val="24"/>
          <w:szCs w:val="24"/>
        </w:rPr>
        <w:t xml:space="preserve"> dua sumber yang dipakai, yaitu : </w:t>
      </w:r>
      <w:r w:rsidRPr="00FD3826">
        <w:rPr>
          <w:sz w:val="24"/>
          <w:szCs w:val="24"/>
        </w:rPr>
        <w:t>Data Primer adalah data asli yang dikumpulkan sendiri oleh peneliti untuk menjawab masalah penelitiannya secara khusus. Umumnya data primer ini sebelumnya belum tersedia, sehingga seorang peneliti harus melakukan pengumpulan sendiri data ini berdasarkan kebutuhannya seperti wawancara mendalam dengan pihak-pihak yang terkait.</w:t>
      </w:r>
      <w:r>
        <w:rPr>
          <w:sz w:val="24"/>
          <w:szCs w:val="24"/>
        </w:rPr>
        <w:t xml:space="preserve"> </w:t>
      </w:r>
      <w:r w:rsidRPr="00FD3826">
        <w:rPr>
          <w:sz w:val="24"/>
          <w:szCs w:val="24"/>
        </w:rPr>
        <w:t xml:space="preserve">Data Sekunder adalah data yang bersumber dari catatan yang ada pada perusahaan dan dari sumber lainnya yaitu dengan mengadakan studi kepustakaan dengan mempelajari buku-buku yang ada hubungannya dengan obyek penelitian atau dapat dilakukan dengan menggunakan Biro </w:t>
      </w:r>
      <w:r w:rsidRPr="00FD3826">
        <w:rPr>
          <w:sz w:val="24"/>
          <w:szCs w:val="24"/>
        </w:rPr>
        <w:lastRenderedPageBreak/>
        <w:t>Pusat Statistik (BPS). Misalnya sejarah singkat perusahaan, struktur organisasi, laporan keuangan perusahaan, literatur yang berhubungan dengan penelitian.</w:t>
      </w:r>
    </w:p>
    <w:p w:rsidR="0095203F" w:rsidRPr="00FD3826" w:rsidRDefault="0095203F" w:rsidP="0006085F">
      <w:pPr>
        <w:autoSpaceDE w:val="0"/>
        <w:autoSpaceDN w:val="0"/>
        <w:adjustRightInd w:val="0"/>
        <w:jc w:val="both"/>
        <w:rPr>
          <w:sz w:val="24"/>
          <w:szCs w:val="24"/>
        </w:rPr>
      </w:pPr>
    </w:p>
    <w:p w:rsidR="00FD3826" w:rsidRPr="00FD3826" w:rsidRDefault="00FD3826" w:rsidP="00FD3826">
      <w:pPr>
        <w:autoSpaceDE w:val="0"/>
        <w:autoSpaceDN w:val="0"/>
        <w:adjustRightInd w:val="0"/>
        <w:jc w:val="both"/>
        <w:rPr>
          <w:sz w:val="24"/>
          <w:szCs w:val="24"/>
        </w:rPr>
      </w:pPr>
      <w:r w:rsidRPr="00FD3826">
        <w:rPr>
          <w:sz w:val="24"/>
          <w:szCs w:val="24"/>
        </w:rPr>
        <w:t>Untuk memperoleh data penelitian, ada beberapa metode pengumpulan data yang digunakan dal</w:t>
      </w:r>
      <w:r>
        <w:rPr>
          <w:sz w:val="24"/>
          <w:szCs w:val="24"/>
        </w:rPr>
        <w:t xml:space="preserve">am penelitian ini, yaitu </w:t>
      </w:r>
      <w:r w:rsidRPr="00FD3826">
        <w:rPr>
          <w:sz w:val="24"/>
          <w:szCs w:val="24"/>
        </w:rPr>
        <w:t>:</w:t>
      </w:r>
      <w:r>
        <w:rPr>
          <w:sz w:val="24"/>
          <w:szCs w:val="24"/>
        </w:rPr>
        <w:t xml:space="preserve"> </w:t>
      </w:r>
      <w:r w:rsidRPr="00FD3826">
        <w:rPr>
          <w:sz w:val="24"/>
          <w:szCs w:val="24"/>
        </w:rPr>
        <w:t xml:space="preserve">Penelitian Lapangan ( </w:t>
      </w:r>
      <w:r w:rsidRPr="00FD3826">
        <w:rPr>
          <w:i/>
          <w:iCs/>
          <w:sz w:val="24"/>
          <w:szCs w:val="24"/>
        </w:rPr>
        <w:t xml:space="preserve">Field Work Research </w:t>
      </w:r>
      <w:r w:rsidRPr="00FD3826">
        <w:rPr>
          <w:sz w:val="24"/>
          <w:szCs w:val="24"/>
        </w:rPr>
        <w:t>)</w:t>
      </w:r>
    </w:p>
    <w:p w:rsidR="00FD3826" w:rsidRDefault="00FD3826" w:rsidP="00FD3826">
      <w:pPr>
        <w:autoSpaceDE w:val="0"/>
        <w:autoSpaceDN w:val="0"/>
        <w:adjustRightInd w:val="0"/>
        <w:jc w:val="both"/>
        <w:rPr>
          <w:sz w:val="24"/>
          <w:szCs w:val="24"/>
        </w:rPr>
      </w:pPr>
      <w:r w:rsidRPr="00FD3826">
        <w:rPr>
          <w:sz w:val="24"/>
          <w:szCs w:val="24"/>
        </w:rPr>
        <w:t xml:space="preserve">merupakan penelitian dengan menggunakan observasi langsung terhadap perusahaan untuk mendapatkan data yang diperlukan dan wawancara dengan pihak yang berwenang mengenai segala sesuatu yang diperlukan untuk menyelesaikan tugas ini. </w:t>
      </w:r>
    </w:p>
    <w:p w:rsidR="0095203F" w:rsidRDefault="0095203F" w:rsidP="00FD3826">
      <w:pPr>
        <w:autoSpaceDE w:val="0"/>
        <w:autoSpaceDN w:val="0"/>
        <w:adjustRightInd w:val="0"/>
        <w:jc w:val="both"/>
        <w:rPr>
          <w:sz w:val="24"/>
          <w:szCs w:val="24"/>
        </w:rPr>
      </w:pPr>
    </w:p>
    <w:p w:rsidR="00FD3826" w:rsidRDefault="00FD3826" w:rsidP="00FD3826">
      <w:pPr>
        <w:autoSpaceDE w:val="0"/>
        <w:autoSpaceDN w:val="0"/>
        <w:adjustRightInd w:val="0"/>
        <w:jc w:val="both"/>
        <w:rPr>
          <w:sz w:val="24"/>
          <w:szCs w:val="24"/>
        </w:rPr>
      </w:pPr>
      <w:r w:rsidRPr="00FD3826">
        <w:rPr>
          <w:sz w:val="24"/>
          <w:szCs w:val="24"/>
        </w:rPr>
        <w:t xml:space="preserve">Data yang penulis peroleh dengan cara </w:t>
      </w:r>
      <w:r>
        <w:rPr>
          <w:sz w:val="24"/>
          <w:szCs w:val="24"/>
        </w:rPr>
        <w:t>w</w:t>
      </w:r>
      <w:r w:rsidRPr="00FD3826">
        <w:rPr>
          <w:sz w:val="24"/>
          <w:szCs w:val="24"/>
        </w:rPr>
        <w:t>awancara langsung dengan pihak yang bertanggung jawab atas laporan keuangan, dan Observasi yaitu teknik pengumpulan data dengan mengadakan pengamatanpengamatan secara langsung atau seksama pada pelaksanaan operasi perusahaan sejalan dengan judul diatas agar mendapatkan data yang objektif dan sistematis.</w:t>
      </w:r>
      <w:r>
        <w:rPr>
          <w:sz w:val="24"/>
          <w:szCs w:val="24"/>
        </w:rPr>
        <w:t xml:space="preserve"> </w:t>
      </w:r>
    </w:p>
    <w:p w:rsidR="0095203F" w:rsidRDefault="0095203F" w:rsidP="00FD3826">
      <w:pPr>
        <w:autoSpaceDE w:val="0"/>
        <w:autoSpaceDN w:val="0"/>
        <w:adjustRightInd w:val="0"/>
        <w:jc w:val="both"/>
        <w:rPr>
          <w:sz w:val="24"/>
          <w:szCs w:val="24"/>
        </w:rPr>
      </w:pPr>
    </w:p>
    <w:p w:rsidR="00FD3826" w:rsidRDefault="00FD3826" w:rsidP="0006085F">
      <w:pPr>
        <w:autoSpaceDE w:val="0"/>
        <w:autoSpaceDN w:val="0"/>
        <w:adjustRightInd w:val="0"/>
        <w:jc w:val="both"/>
        <w:rPr>
          <w:sz w:val="24"/>
          <w:szCs w:val="24"/>
        </w:rPr>
      </w:pPr>
      <w:r>
        <w:rPr>
          <w:sz w:val="24"/>
          <w:szCs w:val="24"/>
        </w:rPr>
        <w:t>Studi Kepustakaan (</w:t>
      </w:r>
      <w:r>
        <w:rPr>
          <w:i/>
          <w:iCs/>
          <w:sz w:val="24"/>
          <w:szCs w:val="24"/>
        </w:rPr>
        <w:t>Library Research</w:t>
      </w:r>
      <w:r w:rsidRPr="00FD3826">
        <w:rPr>
          <w:sz w:val="24"/>
          <w:szCs w:val="24"/>
        </w:rPr>
        <w:t>).</w:t>
      </w:r>
      <w:r>
        <w:rPr>
          <w:sz w:val="24"/>
          <w:szCs w:val="24"/>
        </w:rPr>
        <w:t xml:space="preserve"> </w:t>
      </w:r>
      <w:r w:rsidRPr="00FD3826">
        <w:rPr>
          <w:i/>
          <w:iCs/>
          <w:sz w:val="24"/>
          <w:szCs w:val="24"/>
        </w:rPr>
        <w:t xml:space="preserve">Library Research </w:t>
      </w:r>
      <w:r w:rsidRPr="00FD3826">
        <w:rPr>
          <w:sz w:val="24"/>
          <w:szCs w:val="24"/>
        </w:rPr>
        <w:t>yaitu mempelajari catatan-catatan yang diperoleh selama penulis melakukan kegiatan perkuliahan serta dengan buku panduan yang berkaitan dengan permasalahan penelitian.</w:t>
      </w:r>
    </w:p>
    <w:p w:rsidR="0095203F" w:rsidRPr="00FD3826" w:rsidRDefault="0095203F" w:rsidP="0006085F">
      <w:pPr>
        <w:autoSpaceDE w:val="0"/>
        <w:autoSpaceDN w:val="0"/>
        <w:adjustRightInd w:val="0"/>
        <w:jc w:val="both"/>
        <w:rPr>
          <w:sz w:val="24"/>
          <w:szCs w:val="24"/>
        </w:rPr>
      </w:pPr>
    </w:p>
    <w:p w:rsidR="00FD3826" w:rsidRPr="00FD3826" w:rsidRDefault="00FD3826" w:rsidP="00FD3826">
      <w:pPr>
        <w:autoSpaceDE w:val="0"/>
        <w:autoSpaceDN w:val="0"/>
        <w:adjustRightInd w:val="0"/>
        <w:jc w:val="both"/>
        <w:rPr>
          <w:sz w:val="24"/>
          <w:szCs w:val="24"/>
        </w:rPr>
      </w:pPr>
      <w:r w:rsidRPr="00FD3826">
        <w:rPr>
          <w:sz w:val="24"/>
          <w:szCs w:val="24"/>
        </w:rPr>
        <w:t>Metode yang dilakukan dalam penelitian ini adalah analisis desk</w:t>
      </w:r>
      <w:r w:rsidR="0095203F">
        <w:rPr>
          <w:sz w:val="24"/>
          <w:szCs w:val="24"/>
        </w:rPr>
        <w:t xml:space="preserve">riptif kuantitatif yaitu metode </w:t>
      </w:r>
      <w:r w:rsidRPr="00FD3826">
        <w:rPr>
          <w:sz w:val="24"/>
          <w:szCs w:val="24"/>
        </w:rPr>
        <w:t>yang dilakukan dengan</w:t>
      </w:r>
      <w:r w:rsidR="0095203F">
        <w:rPr>
          <w:sz w:val="24"/>
          <w:szCs w:val="24"/>
        </w:rPr>
        <w:t xml:space="preserve"> mengumpulkan, mengklasifikasi, </w:t>
      </w:r>
      <w:r w:rsidRPr="00FD3826">
        <w:rPr>
          <w:sz w:val="24"/>
          <w:szCs w:val="24"/>
        </w:rPr>
        <w:t xml:space="preserve">menganalisis, serta menginterprestasikan data sehingga memberikan keterangan yang lengkap bagi pemecahan masalah dalam penelitian. Teknik analisis yang digunakan mendeskripsikan atau menggambarkan data yang akurat dan actual yang telah diperoleh dari laporan keuangan perusahaan untuk diambil kesimpulan. Data dari laporan keuangan perusahaan dianalisis menggunakan rasio profitabilitas yaitu </w:t>
      </w:r>
      <w:r w:rsidRPr="00FD3826">
        <w:rPr>
          <w:i/>
          <w:iCs/>
          <w:sz w:val="24"/>
          <w:szCs w:val="24"/>
        </w:rPr>
        <w:t xml:space="preserve">Return On Assets </w:t>
      </w:r>
      <w:r w:rsidRPr="00FD3826">
        <w:rPr>
          <w:sz w:val="24"/>
          <w:szCs w:val="24"/>
        </w:rPr>
        <w:t xml:space="preserve">(ROA) dan </w:t>
      </w:r>
      <w:r w:rsidRPr="00FD3826">
        <w:rPr>
          <w:i/>
          <w:iCs/>
          <w:sz w:val="24"/>
          <w:szCs w:val="24"/>
        </w:rPr>
        <w:t xml:space="preserve">Return On Equity </w:t>
      </w:r>
      <w:r w:rsidRPr="00FD3826">
        <w:rPr>
          <w:sz w:val="24"/>
          <w:szCs w:val="24"/>
        </w:rPr>
        <w:t>(ROE).</w:t>
      </w:r>
    </w:p>
    <w:p w:rsidR="00627912" w:rsidRPr="00FD3826" w:rsidRDefault="00627912" w:rsidP="00627912">
      <w:pPr>
        <w:jc w:val="both"/>
        <w:rPr>
          <w:color w:val="0D0D0D" w:themeColor="text1" w:themeTint="F2"/>
          <w:sz w:val="24"/>
          <w:szCs w:val="24"/>
          <w:lang w:val="id-ID"/>
        </w:rPr>
      </w:pPr>
    </w:p>
    <w:p w:rsidR="00627912" w:rsidRPr="00322782" w:rsidRDefault="00AB37F2" w:rsidP="00322782">
      <w:pPr>
        <w:pStyle w:val="ListParagraph"/>
        <w:spacing w:after="0"/>
        <w:ind w:left="0"/>
        <w:rPr>
          <w:rFonts w:ascii="Times New Roman" w:hAnsi="Times New Roman"/>
          <w:b/>
          <w:bCs/>
          <w:color w:val="000000" w:themeColor="text1"/>
          <w:sz w:val="28"/>
          <w:szCs w:val="24"/>
          <w:lang w:val="en-US"/>
        </w:rPr>
        <w:sectPr w:rsidR="00627912" w:rsidRPr="00322782" w:rsidSect="0016037E">
          <w:type w:val="continuous"/>
          <w:pgSz w:w="11906" w:h="16838"/>
          <w:pgMar w:top="1418" w:right="1276" w:bottom="1418" w:left="1276" w:header="709" w:footer="1134" w:gutter="0"/>
          <w:cols w:num="2" w:space="510"/>
          <w:docGrid w:linePitch="360"/>
        </w:sectPr>
      </w:pPr>
      <w:r w:rsidRPr="00627912">
        <w:rPr>
          <w:rFonts w:ascii="Times New Roman" w:hAnsi="Times New Roman"/>
          <w:b/>
          <w:bCs/>
          <w:color w:val="000000" w:themeColor="text1"/>
          <w:sz w:val="28"/>
          <w:szCs w:val="24"/>
          <w:lang w:val="id-ID"/>
        </w:rPr>
        <w:lastRenderedPageBreak/>
        <w:t>Hasil Dan Pembahasan</w:t>
      </w:r>
    </w:p>
    <w:p w:rsidR="00627912" w:rsidRPr="00627912" w:rsidRDefault="00627912" w:rsidP="00627912">
      <w:pPr>
        <w:pStyle w:val="ListParagraph"/>
        <w:spacing w:after="0" w:line="240" w:lineRule="auto"/>
        <w:ind w:left="0"/>
        <w:jc w:val="center"/>
        <w:rPr>
          <w:rFonts w:ascii="Times New Roman" w:hAnsi="Times New Roman"/>
          <w:b/>
          <w:color w:val="000000" w:themeColor="text1"/>
          <w:sz w:val="24"/>
          <w:szCs w:val="24"/>
          <w:lang w:val="id-ID"/>
        </w:rPr>
      </w:pPr>
    </w:p>
    <w:p w:rsidR="00AB37F2" w:rsidRPr="00D46F65" w:rsidRDefault="00AB37F2" w:rsidP="00AB37F2">
      <w:pPr>
        <w:pStyle w:val="NoSpacing"/>
        <w:jc w:val="center"/>
        <w:rPr>
          <w:rFonts w:ascii="Times New Roman" w:hAnsi="Times New Roman" w:cs="Times New Roman"/>
          <w:b/>
          <w:sz w:val="24"/>
          <w:szCs w:val="24"/>
          <w:lang w:val="id-ID"/>
        </w:rPr>
      </w:pPr>
      <w:r>
        <w:rPr>
          <w:rFonts w:asciiTheme="majorBidi" w:hAnsiTheme="majorBidi" w:cstheme="majorBidi"/>
          <w:b/>
          <w:sz w:val="24"/>
          <w:lang w:val="id-ID"/>
        </w:rPr>
        <w:t xml:space="preserve">Tabel 1. </w:t>
      </w:r>
      <w:r w:rsidR="00D46F65" w:rsidRPr="00D46F65">
        <w:rPr>
          <w:rFonts w:ascii="Times New Roman" w:hAnsi="Times New Roman" w:cs="Times New Roman"/>
          <w:b/>
          <w:bCs/>
          <w:sz w:val="24"/>
          <w:szCs w:val="24"/>
        </w:rPr>
        <w:t>Neraca dan Laba Rugi Perbandingan PT. SURYA EKA LESTARI</w:t>
      </w:r>
    </w:p>
    <w:p w:rsidR="00B90DE8" w:rsidRDefault="00B90DE8" w:rsidP="00D46F65">
      <w:pPr>
        <w:tabs>
          <w:tab w:val="left" w:pos="2520"/>
        </w:tabs>
        <w:jc w:val="both"/>
        <w:outlineLvl w:val="0"/>
        <w:rPr>
          <w:rFonts w:asciiTheme="majorBidi" w:hAnsiTheme="majorBidi" w:cstheme="majorBidi"/>
          <w:b/>
          <w:i/>
        </w:rPr>
      </w:pPr>
    </w:p>
    <w:tbl>
      <w:tblPr>
        <w:tblW w:w="9312" w:type="dxa"/>
        <w:tblInd w:w="198" w:type="dxa"/>
        <w:tblBorders>
          <w:top w:val="single" w:sz="4" w:space="0" w:color="auto"/>
          <w:bottom w:val="single" w:sz="4" w:space="0" w:color="auto"/>
        </w:tblBorders>
        <w:tblLook w:val="04A0" w:firstRow="1" w:lastRow="0" w:firstColumn="1" w:lastColumn="0" w:noHBand="0" w:noVBand="1"/>
      </w:tblPr>
      <w:tblGrid>
        <w:gridCol w:w="2520"/>
        <w:gridCol w:w="1276"/>
        <w:gridCol w:w="1418"/>
        <w:gridCol w:w="1366"/>
        <w:gridCol w:w="1366"/>
        <w:gridCol w:w="1366"/>
      </w:tblGrid>
      <w:tr w:rsidR="00B90DE8" w:rsidRPr="007C0CDC" w:rsidTr="007C0CDC">
        <w:trPr>
          <w:trHeight w:val="489"/>
        </w:trPr>
        <w:tc>
          <w:tcPr>
            <w:tcW w:w="2520" w:type="dxa"/>
            <w:tcBorders>
              <w:top w:val="single" w:sz="4" w:space="0" w:color="auto"/>
              <w:bottom w:val="single" w:sz="4" w:space="0" w:color="auto"/>
            </w:tcBorders>
            <w:vAlign w:val="center"/>
          </w:tcPr>
          <w:p w:rsidR="00B90DE8" w:rsidRPr="007C0CDC" w:rsidRDefault="00B90DE8" w:rsidP="007C0CDC">
            <w:pPr>
              <w:autoSpaceDE w:val="0"/>
              <w:autoSpaceDN w:val="0"/>
              <w:adjustRightInd w:val="0"/>
              <w:jc w:val="center"/>
            </w:pPr>
            <w:r w:rsidRPr="007C0CDC">
              <w:t>KET</w:t>
            </w:r>
          </w:p>
        </w:tc>
        <w:tc>
          <w:tcPr>
            <w:tcW w:w="1276" w:type="dxa"/>
            <w:tcBorders>
              <w:top w:val="single" w:sz="4" w:space="0" w:color="auto"/>
              <w:bottom w:val="single" w:sz="4" w:space="0" w:color="auto"/>
            </w:tcBorders>
            <w:vAlign w:val="center"/>
          </w:tcPr>
          <w:p w:rsidR="00B90DE8" w:rsidRPr="007C0CDC" w:rsidRDefault="00B90DE8" w:rsidP="007C0CDC">
            <w:pPr>
              <w:autoSpaceDE w:val="0"/>
              <w:autoSpaceDN w:val="0"/>
              <w:adjustRightInd w:val="0"/>
              <w:jc w:val="center"/>
            </w:pPr>
            <w:r w:rsidRPr="007C0CDC">
              <w:t>2013</w:t>
            </w:r>
          </w:p>
        </w:tc>
        <w:tc>
          <w:tcPr>
            <w:tcW w:w="1418" w:type="dxa"/>
            <w:tcBorders>
              <w:top w:val="single" w:sz="4" w:space="0" w:color="auto"/>
              <w:bottom w:val="single" w:sz="4" w:space="0" w:color="auto"/>
            </w:tcBorders>
            <w:vAlign w:val="center"/>
          </w:tcPr>
          <w:p w:rsidR="00B90DE8" w:rsidRPr="007C0CDC" w:rsidRDefault="00B90DE8" w:rsidP="007C0CDC">
            <w:pPr>
              <w:autoSpaceDE w:val="0"/>
              <w:autoSpaceDN w:val="0"/>
              <w:adjustRightInd w:val="0"/>
              <w:jc w:val="center"/>
            </w:pPr>
            <w:r w:rsidRPr="007C0CDC">
              <w:t>2014</w:t>
            </w:r>
          </w:p>
        </w:tc>
        <w:tc>
          <w:tcPr>
            <w:tcW w:w="1366" w:type="dxa"/>
            <w:tcBorders>
              <w:top w:val="single" w:sz="4" w:space="0" w:color="auto"/>
              <w:bottom w:val="single" w:sz="4" w:space="0" w:color="auto"/>
            </w:tcBorders>
            <w:vAlign w:val="center"/>
          </w:tcPr>
          <w:p w:rsidR="00B90DE8" w:rsidRPr="007C0CDC" w:rsidRDefault="00B90DE8" w:rsidP="007C0CDC">
            <w:pPr>
              <w:autoSpaceDE w:val="0"/>
              <w:autoSpaceDN w:val="0"/>
              <w:adjustRightInd w:val="0"/>
              <w:jc w:val="center"/>
            </w:pPr>
            <w:r w:rsidRPr="007C0CDC">
              <w:t>2015</w:t>
            </w:r>
          </w:p>
        </w:tc>
        <w:tc>
          <w:tcPr>
            <w:tcW w:w="1366" w:type="dxa"/>
            <w:tcBorders>
              <w:top w:val="single" w:sz="4" w:space="0" w:color="auto"/>
              <w:bottom w:val="single" w:sz="4" w:space="0" w:color="auto"/>
            </w:tcBorders>
            <w:vAlign w:val="center"/>
          </w:tcPr>
          <w:p w:rsidR="00B90DE8" w:rsidRPr="007C0CDC" w:rsidRDefault="00B90DE8" w:rsidP="007C0CDC">
            <w:pPr>
              <w:autoSpaceDE w:val="0"/>
              <w:autoSpaceDN w:val="0"/>
              <w:adjustRightInd w:val="0"/>
              <w:jc w:val="center"/>
            </w:pPr>
            <w:r w:rsidRPr="007C0CDC">
              <w:t>2016</w:t>
            </w:r>
          </w:p>
        </w:tc>
        <w:tc>
          <w:tcPr>
            <w:tcW w:w="1366" w:type="dxa"/>
            <w:tcBorders>
              <w:top w:val="single" w:sz="4" w:space="0" w:color="auto"/>
              <w:bottom w:val="single" w:sz="4" w:space="0" w:color="auto"/>
            </w:tcBorders>
            <w:vAlign w:val="center"/>
          </w:tcPr>
          <w:p w:rsidR="00B90DE8" w:rsidRPr="007C0CDC" w:rsidRDefault="00B90DE8" w:rsidP="007C0CDC">
            <w:pPr>
              <w:autoSpaceDE w:val="0"/>
              <w:autoSpaceDN w:val="0"/>
              <w:adjustRightInd w:val="0"/>
              <w:jc w:val="center"/>
            </w:pPr>
            <w:r w:rsidRPr="007C0CDC">
              <w:t>2017</w:t>
            </w:r>
          </w:p>
        </w:tc>
      </w:tr>
      <w:tr w:rsidR="00B90DE8" w:rsidRPr="007C0CDC" w:rsidTr="007C0CDC">
        <w:trPr>
          <w:trHeight w:val="336"/>
        </w:trPr>
        <w:tc>
          <w:tcPr>
            <w:tcW w:w="2520" w:type="dxa"/>
            <w:tcBorders>
              <w:top w:val="single" w:sz="4" w:space="0" w:color="auto"/>
            </w:tcBorders>
            <w:vAlign w:val="center"/>
          </w:tcPr>
          <w:p w:rsidR="00B90DE8" w:rsidRPr="007C0CDC" w:rsidRDefault="00B90DE8" w:rsidP="007C0CDC">
            <w:pPr>
              <w:autoSpaceDE w:val="0"/>
              <w:autoSpaceDN w:val="0"/>
              <w:adjustRightInd w:val="0"/>
            </w:pPr>
            <w:r w:rsidRPr="007C0CDC">
              <w:t>Total Aktiva</w:t>
            </w:r>
          </w:p>
        </w:tc>
        <w:tc>
          <w:tcPr>
            <w:tcW w:w="1276" w:type="dxa"/>
            <w:tcBorders>
              <w:top w:val="single" w:sz="4" w:space="0" w:color="auto"/>
            </w:tcBorders>
            <w:vAlign w:val="center"/>
          </w:tcPr>
          <w:p w:rsidR="00B90DE8" w:rsidRPr="007C0CDC" w:rsidRDefault="00B90DE8" w:rsidP="007C0CDC">
            <w:pPr>
              <w:autoSpaceDE w:val="0"/>
              <w:autoSpaceDN w:val="0"/>
              <w:adjustRightInd w:val="0"/>
              <w:jc w:val="center"/>
            </w:pPr>
            <w:r w:rsidRPr="007C0CDC">
              <w:t>295.735.300</w:t>
            </w:r>
          </w:p>
        </w:tc>
        <w:tc>
          <w:tcPr>
            <w:tcW w:w="1418" w:type="dxa"/>
            <w:tcBorders>
              <w:top w:val="single" w:sz="4" w:space="0" w:color="auto"/>
            </w:tcBorders>
            <w:vAlign w:val="center"/>
          </w:tcPr>
          <w:p w:rsidR="00B90DE8" w:rsidRPr="007C0CDC" w:rsidRDefault="00B90DE8" w:rsidP="007C0CDC">
            <w:pPr>
              <w:autoSpaceDE w:val="0"/>
              <w:autoSpaceDN w:val="0"/>
              <w:adjustRightInd w:val="0"/>
              <w:jc w:val="center"/>
            </w:pPr>
            <w:r w:rsidRPr="007C0CDC">
              <w:t>573.625.426</w:t>
            </w:r>
          </w:p>
        </w:tc>
        <w:tc>
          <w:tcPr>
            <w:tcW w:w="1366" w:type="dxa"/>
            <w:tcBorders>
              <w:top w:val="single" w:sz="4" w:space="0" w:color="auto"/>
            </w:tcBorders>
            <w:vAlign w:val="center"/>
          </w:tcPr>
          <w:p w:rsidR="00B90DE8" w:rsidRPr="007C0CDC" w:rsidRDefault="00B90DE8" w:rsidP="007C0CDC">
            <w:pPr>
              <w:autoSpaceDE w:val="0"/>
              <w:autoSpaceDN w:val="0"/>
              <w:adjustRightInd w:val="0"/>
              <w:jc w:val="center"/>
            </w:pPr>
            <w:r w:rsidRPr="007C0CDC">
              <w:t>1.819.065.948</w:t>
            </w:r>
          </w:p>
        </w:tc>
        <w:tc>
          <w:tcPr>
            <w:tcW w:w="1366" w:type="dxa"/>
            <w:tcBorders>
              <w:top w:val="single" w:sz="4" w:space="0" w:color="auto"/>
            </w:tcBorders>
            <w:vAlign w:val="center"/>
          </w:tcPr>
          <w:p w:rsidR="00B90DE8" w:rsidRPr="007C0CDC" w:rsidRDefault="00B90DE8" w:rsidP="007C0CDC">
            <w:pPr>
              <w:autoSpaceDE w:val="0"/>
              <w:autoSpaceDN w:val="0"/>
              <w:adjustRightInd w:val="0"/>
              <w:jc w:val="center"/>
            </w:pPr>
            <w:r w:rsidRPr="007C0CDC">
              <w:t>2.595.177.426</w:t>
            </w:r>
          </w:p>
        </w:tc>
        <w:tc>
          <w:tcPr>
            <w:tcW w:w="1366" w:type="dxa"/>
            <w:tcBorders>
              <w:top w:val="single" w:sz="4" w:space="0" w:color="auto"/>
            </w:tcBorders>
            <w:vAlign w:val="center"/>
          </w:tcPr>
          <w:p w:rsidR="00B90DE8" w:rsidRPr="007C0CDC" w:rsidRDefault="00B90DE8" w:rsidP="007C0CDC">
            <w:pPr>
              <w:autoSpaceDE w:val="0"/>
              <w:autoSpaceDN w:val="0"/>
              <w:adjustRightInd w:val="0"/>
              <w:jc w:val="center"/>
            </w:pPr>
            <w:r w:rsidRPr="007C0CDC">
              <w:t>3.224.751.552</w:t>
            </w:r>
          </w:p>
        </w:tc>
      </w:tr>
      <w:tr w:rsidR="00B90DE8" w:rsidRPr="007C0CDC" w:rsidTr="007C0CDC">
        <w:trPr>
          <w:trHeight w:val="345"/>
        </w:trPr>
        <w:tc>
          <w:tcPr>
            <w:tcW w:w="2520" w:type="dxa"/>
            <w:vAlign w:val="center"/>
          </w:tcPr>
          <w:p w:rsidR="00B90DE8" w:rsidRPr="007C0CDC" w:rsidRDefault="00B90DE8" w:rsidP="007C0CDC">
            <w:pPr>
              <w:autoSpaceDE w:val="0"/>
              <w:autoSpaceDN w:val="0"/>
              <w:adjustRightInd w:val="0"/>
            </w:pPr>
            <w:r w:rsidRPr="007C0CDC">
              <w:t>Total Hutang</w:t>
            </w:r>
          </w:p>
        </w:tc>
        <w:tc>
          <w:tcPr>
            <w:tcW w:w="1276" w:type="dxa"/>
            <w:vAlign w:val="center"/>
          </w:tcPr>
          <w:p w:rsidR="00B90DE8" w:rsidRPr="007C0CDC" w:rsidRDefault="00B90DE8" w:rsidP="007C0CDC">
            <w:pPr>
              <w:autoSpaceDE w:val="0"/>
              <w:autoSpaceDN w:val="0"/>
              <w:adjustRightInd w:val="0"/>
              <w:jc w:val="center"/>
            </w:pPr>
            <w:r w:rsidRPr="007C0CDC">
              <w:t>60.941.580</w:t>
            </w:r>
          </w:p>
        </w:tc>
        <w:tc>
          <w:tcPr>
            <w:tcW w:w="1418" w:type="dxa"/>
            <w:vAlign w:val="center"/>
          </w:tcPr>
          <w:p w:rsidR="00B90DE8" w:rsidRPr="007C0CDC" w:rsidRDefault="00B90DE8" w:rsidP="007C0CDC">
            <w:pPr>
              <w:autoSpaceDE w:val="0"/>
              <w:autoSpaceDN w:val="0"/>
              <w:adjustRightInd w:val="0"/>
              <w:jc w:val="center"/>
            </w:pPr>
            <w:r w:rsidRPr="007C0CDC">
              <w:t>103.879.150</w:t>
            </w:r>
          </w:p>
        </w:tc>
        <w:tc>
          <w:tcPr>
            <w:tcW w:w="1366" w:type="dxa"/>
            <w:vAlign w:val="center"/>
          </w:tcPr>
          <w:p w:rsidR="00B90DE8" w:rsidRPr="007C0CDC" w:rsidRDefault="00B90DE8" w:rsidP="007C0CDC">
            <w:pPr>
              <w:autoSpaceDE w:val="0"/>
              <w:autoSpaceDN w:val="0"/>
              <w:adjustRightInd w:val="0"/>
              <w:jc w:val="center"/>
            </w:pPr>
            <w:r w:rsidRPr="007C0CDC">
              <w:t>940.195.460</w:t>
            </w:r>
          </w:p>
        </w:tc>
        <w:tc>
          <w:tcPr>
            <w:tcW w:w="1366" w:type="dxa"/>
            <w:vAlign w:val="center"/>
          </w:tcPr>
          <w:p w:rsidR="00B90DE8" w:rsidRPr="007C0CDC" w:rsidRDefault="00B90DE8" w:rsidP="007C0CDC">
            <w:pPr>
              <w:autoSpaceDE w:val="0"/>
              <w:autoSpaceDN w:val="0"/>
              <w:adjustRightInd w:val="0"/>
              <w:jc w:val="center"/>
            </w:pPr>
            <w:r w:rsidRPr="007C0CDC">
              <w:t>1.353.670.653</w:t>
            </w:r>
          </w:p>
        </w:tc>
        <w:tc>
          <w:tcPr>
            <w:tcW w:w="1366" w:type="dxa"/>
            <w:vAlign w:val="center"/>
          </w:tcPr>
          <w:p w:rsidR="00B90DE8" w:rsidRPr="007C0CDC" w:rsidRDefault="00B90DE8" w:rsidP="007C0CDC">
            <w:pPr>
              <w:autoSpaceDE w:val="0"/>
              <w:autoSpaceDN w:val="0"/>
              <w:adjustRightInd w:val="0"/>
              <w:jc w:val="center"/>
            </w:pPr>
            <w:r w:rsidRPr="007C0CDC">
              <w:t>427.077.726</w:t>
            </w:r>
          </w:p>
        </w:tc>
      </w:tr>
      <w:tr w:rsidR="00B90DE8" w:rsidRPr="007C0CDC" w:rsidTr="007C0CDC">
        <w:trPr>
          <w:trHeight w:val="354"/>
        </w:trPr>
        <w:tc>
          <w:tcPr>
            <w:tcW w:w="2520" w:type="dxa"/>
            <w:vAlign w:val="center"/>
          </w:tcPr>
          <w:p w:rsidR="00B90DE8" w:rsidRPr="007C0CDC" w:rsidRDefault="00B90DE8" w:rsidP="007C0CDC">
            <w:pPr>
              <w:autoSpaceDE w:val="0"/>
              <w:autoSpaceDN w:val="0"/>
              <w:adjustRightInd w:val="0"/>
            </w:pPr>
            <w:r w:rsidRPr="007C0CDC">
              <w:t>Total Ekuitas</w:t>
            </w:r>
          </w:p>
        </w:tc>
        <w:tc>
          <w:tcPr>
            <w:tcW w:w="1276" w:type="dxa"/>
            <w:vAlign w:val="center"/>
          </w:tcPr>
          <w:p w:rsidR="00B90DE8" w:rsidRPr="007C0CDC" w:rsidRDefault="00B90DE8" w:rsidP="007C0CDC">
            <w:pPr>
              <w:autoSpaceDE w:val="0"/>
              <w:autoSpaceDN w:val="0"/>
              <w:adjustRightInd w:val="0"/>
              <w:jc w:val="center"/>
            </w:pPr>
            <w:r w:rsidRPr="007C0CDC">
              <w:t>234.793.720</w:t>
            </w:r>
          </w:p>
        </w:tc>
        <w:tc>
          <w:tcPr>
            <w:tcW w:w="1418" w:type="dxa"/>
            <w:vAlign w:val="center"/>
          </w:tcPr>
          <w:p w:rsidR="00B90DE8" w:rsidRPr="007C0CDC" w:rsidRDefault="00B90DE8" w:rsidP="007C0CDC">
            <w:pPr>
              <w:autoSpaceDE w:val="0"/>
              <w:autoSpaceDN w:val="0"/>
              <w:adjustRightInd w:val="0"/>
              <w:jc w:val="center"/>
            </w:pPr>
            <w:r w:rsidRPr="007C0CDC">
              <w:t>469.746.276</w:t>
            </w:r>
          </w:p>
        </w:tc>
        <w:tc>
          <w:tcPr>
            <w:tcW w:w="1366" w:type="dxa"/>
            <w:vAlign w:val="center"/>
          </w:tcPr>
          <w:p w:rsidR="00B90DE8" w:rsidRPr="007C0CDC" w:rsidRDefault="00B90DE8" w:rsidP="007C0CDC">
            <w:pPr>
              <w:autoSpaceDE w:val="0"/>
              <w:autoSpaceDN w:val="0"/>
              <w:adjustRightInd w:val="0"/>
              <w:jc w:val="center"/>
            </w:pPr>
            <w:r w:rsidRPr="007C0CDC">
              <w:t>878.870.488</w:t>
            </w:r>
          </w:p>
        </w:tc>
        <w:tc>
          <w:tcPr>
            <w:tcW w:w="1366" w:type="dxa"/>
            <w:vAlign w:val="center"/>
          </w:tcPr>
          <w:p w:rsidR="00B90DE8" w:rsidRPr="007C0CDC" w:rsidRDefault="00B90DE8" w:rsidP="007C0CDC">
            <w:pPr>
              <w:autoSpaceDE w:val="0"/>
              <w:autoSpaceDN w:val="0"/>
              <w:adjustRightInd w:val="0"/>
              <w:jc w:val="center"/>
            </w:pPr>
            <w:r w:rsidRPr="007C0CDC">
              <w:t>1.241.506.773</w:t>
            </w:r>
          </w:p>
        </w:tc>
        <w:tc>
          <w:tcPr>
            <w:tcW w:w="1366" w:type="dxa"/>
            <w:vAlign w:val="center"/>
          </w:tcPr>
          <w:p w:rsidR="00B90DE8" w:rsidRPr="007C0CDC" w:rsidRDefault="00B90DE8" w:rsidP="007C0CDC">
            <w:pPr>
              <w:autoSpaceDE w:val="0"/>
              <w:autoSpaceDN w:val="0"/>
              <w:adjustRightInd w:val="0"/>
              <w:jc w:val="center"/>
            </w:pPr>
            <w:r w:rsidRPr="007C0CDC">
              <w:t>2.797.673.826</w:t>
            </w:r>
          </w:p>
        </w:tc>
      </w:tr>
      <w:tr w:rsidR="00B90DE8" w:rsidRPr="007C0CDC" w:rsidTr="007C0CDC">
        <w:trPr>
          <w:trHeight w:val="345"/>
        </w:trPr>
        <w:tc>
          <w:tcPr>
            <w:tcW w:w="2520" w:type="dxa"/>
            <w:vAlign w:val="center"/>
          </w:tcPr>
          <w:p w:rsidR="00B90DE8" w:rsidRPr="007C0CDC" w:rsidRDefault="00B90DE8" w:rsidP="007C0CDC">
            <w:pPr>
              <w:autoSpaceDE w:val="0"/>
              <w:autoSpaceDN w:val="0"/>
              <w:adjustRightInd w:val="0"/>
            </w:pPr>
            <w:r w:rsidRPr="007C0CDC">
              <w:t>Laba/Rugi Netto</w:t>
            </w:r>
          </w:p>
        </w:tc>
        <w:tc>
          <w:tcPr>
            <w:tcW w:w="1276" w:type="dxa"/>
            <w:vAlign w:val="center"/>
          </w:tcPr>
          <w:p w:rsidR="00B90DE8" w:rsidRPr="007C0CDC" w:rsidRDefault="00B90DE8" w:rsidP="007C0CDC">
            <w:pPr>
              <w:autoSpaceDE w:val="0"/>
              <w:autoSpaceDN w:val="0"/>
              <w:adjustRightInd w:val="0"/>
              <w:jc w:val="center"/>
            </w:pPr>
            <w:r w:rsidRPr="007C0CDC">
              <w:t>84.793.720</w:t>
            </w:r>
          </w:p>
        </w:tc>
        <w:tc>
          <w:tcPr>
            <w:tcW w:w="1418" w:type="dxa"/>
            <w:vAlign w:val="center"/>
          </w:tcPr>
          <w:p w:rsidR="00B90DE8" w:rsidRPr="007C0CDC" w:rsidRDefault="00B90DE8" w:rsidP="007C0CDC">
            <w:pPr>
              <w:autoSpaceDE w:val="0"/>
              <w:autoSpaceDN w:val="0"/>
              <w:adjustRightInd w:val="0"/>
              <w:jc w:val="center"/>
            </w:pPr>
            <w:r w:rsidRPr="007C0CDC">
              <w:t>234.952.556</w:t>
            </w:r>
          </w:p>
        </w:tc>
        <w:tc>
          <w:tcPr>
            <w:tcW w:w="1366" w:type="dxa"/>
            <w:vAlign w:val="center"/>
          </w:tcPr>
          <w:p w:rsidR="00B90DE8" w:rsidRPr="007C0CDC" w:rsidRDefault="00B90DE8" w:rsidP="007C0CDC">
            <w:pPr>
              <w:autoSpaceDE w:val="0"/>
              <w:autoSpaceDN w:val="0"/>
              <w:adjustRightInd w:val="0"/>
              <w:jc w:val="center"/>
            </w:pPr>
            <w:r w:rsidRPr="007C0CDC">
              <w:t>409.124.212</w:t>
            </w:r>
          </w:p>
        </w:tc>
        <w:tc>
          <w:tcPr>
            <w:tcW w:w="1366" w:type="dxa"/>
            <w:vAlign w:val="center"/>
          </w:tcPr>
          <w:p w:rsidR="00B90DE8" w:rsidRPr="007C0CDC" w:rsidRDefault="00B90DE8" w:rsidP="007C0CDC">
            <w:pPr>
              <w:autoSpaceDE w:val="0"/>
              <w:autoSpaceDN w:val="0"/>
              <w:adjustRightInd w:val="0"/>
              <w:jc w:val="center"/>
            </w:pPr>
            <w:r w:rsidRPr="007C0CDC">
              <w:t>362.636.285</w:t>
            </w:r>
          </w:p>
        </w:tc>
        <w:tc>
          <w:tcPr>
            <w:tcW w:w="1366" w:type="dxa"/>
            <w:vAlign w:val="center"/>
          </w:tcPr>
          <w:p w:rsidR="00B90DE8" w:rsidRPr="007C0CDC" w:rsidRDefault="00B90DE8" w:rsidP="007C0CDC">
            <w:pPr>
              <w:autoSpaceDE w:val="0"/>
              <w:autoSpaceDN w:val="0"/>
              <w:adjustRightInd w:val="0"/>
              <w:jc w:val="center"/>
            </w:pPr>
            <w:r w:rsidRPr="007C0CDC">
              <w:t>1.556.167.053</w:t>
            </w:r>
          </w:p>
        </w:tc>
      </w:tr>
    </w:tbl>
    <w:p w:rsidR="00D46F65" w:rsidRPr="00D46F65" w:rsidRDefault="00B90DE8" w:rsidP="00D46F65">
      <w:pPr>
        <w:tabs>
          <w:tab w:val="left" w:pos="2520"/>
        </w:tabs>
        <w:jc w:val="both"/>
        <w:outlineLvl w:val="0"/>
        <w:rPr>
          <w:b/>
        </w:rPr>
      </w:pPr>
      <w:r>
        <w:t xml:space="preserve">                </w:t>
      </w:r>
      <w:r w:rsidR="00AB37F2">
        <w:rPr>
          <w:rFonts w:asciiTheme="majorBidi" w:hAnsiTheme="majorBidi" w:cstheme="majorBidi"/>
          <w:b/>
          <w:i/>
          <w:lang w:val="id-ID"/>
        </w:rPr>
        <w:t xml:space="preserve">Sumber: </w:t>
      </w:r>
      <w:r w:rsidR="00D46F65" w:rsidRPr="00D46F65">
        <w:rPr>
          <w:b/>
          <w:i/>
          <w:iCs/>
        </w:rPr>
        <w:t>Laporan Keuangan PT. Surya Eka Lestari Ogan Komering Ulu</w:t>
      </w:r>
    </w:p>
    <w:p w:rsidR="00B90DE8" w:rsidRDefault="00B90DE8" w:rsidP="00B90DE8">
      <w:pPr>
        <w:pStyle w:val="ListParagraph"/>
        <w:spacing w:after="0" w:line="240" w:lineRule="auto"/>
        <w:ind w:left="0"/>
        <w:rPr>
          <w:rFonts w:ascii="Times New Roman" w:hAnsi="Times New Roman"/>
          <w:b/>
          <w:color w:val="000000" w:themeColor="text1"/>
          <w:sz w:val="24"/>
          <w:szCs w:val="24"/>
          <w:lang w:val="en-US"/>
        </w:rPr>
      </w:pPr>
    </w:p>
    <w:p w:rsidR="0006085F" w:rsidRDefault="0006085F" w:rsidP="0006085F">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B90DE8" w:rsidRPr="00B90DE8" w:rsidRDefault="00B90DE8" w:rsidP="0006085F">
      <w:pPr>
        <w:autoSpaceDE w:val="0"/>
        <w:autoSpaceDN w:val="0"/>
        <w:adjustRightInd w:val="0"/>
        <w:jc w:val="both"/>
        <w:rPr>
          <w:color w:val="000000"/>
          <w:sz w:val="24"/>
          <w:szCs w:val="24"/>
        </w:rPr>
      </w:pPr>
      <w:r w:rsidRPr="00B90DE8">
        <w:rPr>
          <w:color w:val="000000"/>
          <w:sz w:val="24"/>
          <w:szCs w:val="24"/>
        </w:rPr>
        <w:lastRenderedPageBreak/>
        <w:t>Analisis terhadap laporan keuangan suatu perusahaan bertujuan untuk menilai ketepatan kebijakan manajemen dalam mengelola keuangan perusahaan. Dengan menganalisis data keuangan dari tahun-tahun yang lalu, dapat diketahui kelemahan dari perusahaan serta hasil yang telah dianggap cukup baik. Hasil analisis historis tersebut digunakan sebagai bahan untuk menyiapkan langkah-langkah kebijaksanaan keuangan pada tahun-tahun yang akan datang. Analisis rasio berguna bagi kepentingan pihak intern dan ekstern perusahaan. Dimana kepentingan bagi pihak intern perusahaan (manajemen keuangan), dengan adanya perhitungan rasio ini akan diperoleh informasi tentang kelemahan yang dihadapi oleh perusahaan, sehingga dapat membuat keputusan yang penting bagi perusahaan untuk masa yang akan datang. Sedangkan bagi pihak ekstern analisis rasio ini penting karena mereka ingin mengetahui keadaan keuangan perusahaan.</w:t>
      </w:r>
    </w:p>
    <w:p w:rsidR="0095203F" w:rsidRDefault="0095203F" w:rsidP="00B90DE8">
      <w:pPr>
        <w:autoSpaceDE w:val="0"/>
        <w:autoSpaceDN w:val="0"/>
        <w:adjustRightInd w:val="0"/>
        <w:jc w:val="both"/>
        <w:rPr>
          <w:color w:val="000000"/>
          <w:sz w:val="24"/>
          <w:szCs w:val="24"/>
        </w:rPr>
      </w:pPr>
    </w:p>
    <w:p w:rsidR="00B90DE8" w:rsidRPr="00B90DE8" w:rsidRDefault="00B90DE8" w:rsidP="00B90DE8">
      <w:pPr>
        <w:autoSpaceDE w:val="0"/>
        <w:autoSpaceDN w:val="0"/>
        <w:adjustRightInd w:val="0"/>
        <w:jc w:val="both"/>
        <w:rPr>
          <w:i/>
          <w:iCs/>
          <w:color w:val="000000"/>
          <w:sz w:val="24"/>
          <w:szCs w:val="24"/>
        </w:rPr>
      </w:pPr>
      <w:r w:rsidRPr="00B90DE8">
        <w:rPr>
          <w:color w:val="000000"/>
          <w:sz w:val="24"/>
          <w:szCs w:val="24"/>
        </w:rPr>
        <w:t xml:space="preserve">Penulis akan melakukan analisis perkembangan </w:t>
      </w:r>
      <w:r w:rsidRPr="00B90DE8">
        <w:rPr>
          <w:i/>
          <w:iCs/>
          <w:color w:val="000000"/>
          <w:sz w:val="24"/>
          <w:szCs w:val="24"/>
        </w:rPr>
        <w:t xml:space="preserve">Return On Assets </w:t>
      </w:r>
      <w:r w:rsidRPr="00B90DE8">
        <w:rPr>
          <w:color w:val="000000"/>
          <w:sz w:val="24"/>
          <w:szCs w:val="24"/>
        </w:rPr>
        <w:t xml:space="preserve">(ROA) dan </w:t>
      </w:r>
      <w:r w:rsidRPr="00B90DE8">
        <w:rPr>
          <w:i/>
          <w:iCs/>
          <w:color w:val="000000"/>
          <w:sz w:val="24"/>
          <w:szCs w:val="24"/>
        </w:rPr>
        <w:t xml:space="preserve">Return On Equity </w:t>
      </w:r>
      <w:r w:rsidRPr="00B90DE8">
        <w:rPr>
          <w:color w:val="000000"/>
          <w:sz w:val="24"/>
          <w:szCs w:val="24"/>
        </w:rPr>
        <w:t>(ROE) pertahun yang mana hasil</w:t>
      </w:r>
      <w:r w:rsidRPr="00B90DE8">
        <w:rPr>
          <w:i/>
          <w:iCs/>
          <w:color w:val="000000"/>
          <w:sz w:val="24"/>
          <w:szCs w:val="24"/>
        </w:rPr>
        <w:t xml:space="preserve"> </w:t>
      </w:r>
      <w:r w:rsidRPr="00B90DE8">
        <w:rPr>
          <w:color w:val="000000"/>
          <w:sz w:val="24"/>
          <w:szCs w:val="24"/>
        </w:rPr>
        <w:t>penelitiannya adalah sebagai berikut :</w:t>
      </w:r>
    </w:p>
    <w:p w:rsidR="00B90DE8" w:rsidRDefault="00B90DE8" w:rsidP="00B90DE8">
      <w:pPr>
        <w:autoSpaceDE w:val="0"/>
        <w:autoSpaceDN w:val="0"/>
        <w:adjustRightInd w:val="0"/>
        <w:jc w:val="both"/>
        <w:rPr>
          <w:color w:val="000000"/>
          <w:sz w:val="24"/>
          <w:szCs w:val="24"/>
        </w:rPr>
      </w:pPr>
      <w:r w:rsidRPr="00B90DE8">
        <w:rPr>
          <w:color w:val="000000"/>
          <w:sz w:val="24"/>
          <w:szCs w:val="24"/>
        </w:rPr>
        <w:t>Rasio profitabilitas merupakan rasio yang menggambarkan kemampuan perusahaan dalam menghasilkan laba selama periode tertentu. Rasio profitabilitas bertujuan untuk mengukur tingkat efektivitas manajemen dalam menjalankan</w:t>
      </w:r>
      <w:r>
        <w:rPr>
          <w:color w:val="000000"/>
          <w:sz w:val="24"/>
          <w:szCs w:val="24"/>
        </w:rPr>
        <w:t xml:space="preserve"> </w:t>
      </w:r>
      <w:r w:rsidRPr="00B90DE8">
        <w:rPr>
          <w:color w:val="000000"/>
          <w:sz w:val="24"/>
          <w:szCs w:val="24"/>
        </w:rPr>
        <w:t xml:space="preserve">operasional </w:t>
      </w:r>
      <w:r w:rsidRPr="00B90DE8">
        <w:rPr>
          <w:color w:val="000000"/>
          <w:sz w:val="24"/>
          <w:szCs w:val="24"/>
        </w:rPr>
        <w:lastRenderedPageBreak/>
        <w:t>perusahaannya. Kinerja yang baik akan ditunjukkan lewat keberhasilan manajemen dalam menghasilkan laba bagi perusahaan. Rasio ini dapat dilakukan terhadap target yang telah ditetapkan sebelumnya, atau bisa juga</w:t>
      </w:r>
      <w:r>
        <w:rPr>
          <w:color w:val="000000"/>
          <w:sz w:val="24"/>
          <w:szCs w:val="24"/>
        </w:rPr>
        <w:t xml:space="preserve"> </w:t>
      </w:r>
      <w:r w:rsidRPr="00B90DE8">
        <w:rPr>
          <w:color w:val="000000"/>
          <w:sz w:val="24"/>
          <w:szCs w:val="24"/>
        </w:rPr>
        <w:t xml:space="preserve">dibandingkan dengan standar rasio rata-rata industri. Rasio ini dapat dibedakan menjadi dua jenis yaitu, rasio tingkat pengembalian atas investasi dan rasio kinerja operasi. Penulis akan membahas tentang rasio tingkat pengembalian atas investasi yakni </w:t>
      </w:r>
      <w:r w:rsidRPr="00B90DE8">
        <w:rPr>
          <w:i/>
          <w:iCs/>
          <w:color w:val="000000"/>
          <w:sz w:val="24"/>
          <w:szCs w:val="24"/>
        </w:rPr>
        <w:t xml:space="preserve">Return On Assets </w:t>
      </w:r>
      <w:r w:rsidRPr="00B90DE8">
        <w:rPr>
          <w:color w:val="000000"/>
          <w:sz w:val="24"/>
          <w:szCs w:val="24"/>
        </w:rPr>
        <w:t xml:space="preserve">(Hasil Pengembalian atas Aset) dan </w:t>
      </w:r>
      <w:r w:rsidRPr="00B90DE8">
        <w:rPr>
          <w:i/>
          <w:iCs/>
          <w:color w:val="000000"/>
          <w:sz w:val="24"/>
          <w:szCs w:val="24"/>
        </w:rPr>
        <w:t xml:space="preserve">Return On Equity </w:t>
      </w:r>
      <w:r w:rsidRPr="00B90DE8">
        <w:rPr>
          <w:color w:val="000000"/>
          <w:sz w:val="24"/>
          <w:szCs w:val="24"/>
        </w:rPr>
        <w:t>(Hasil Pengembalian atas Ekuitas).</w:t>
      </w:r>
    </w:p>
    <w:p w:rsidR="0095203F" w:rsidRPr="00B90DE8" w:rsidRDefault="0095203F" w:rsidP="00B90DE8">
      <w:pPr>
        <w:autoSpaceDE w:val="0"/>
        <w:autoSpaceDN w:val="0"/>
        <w:adjustRightInd w:val="0"/>
        <w:jc w:val="both"/>
        <w:rPr>
          <w:color w:val="000000"/>
          <w:sz w:val="24"/>
          <w:szCs w:val="24"/>
        </w:rPr>
      </w:pPr>
    </w:p>
    <w:p w:rsidR="00B90DE8" w:rsidRDefault="00B90DE8" w:rsidP="00B90DE8">
      <w:pPr>
        <w:autoSpaceDE w:val="0"/>
        <w:autoSpaceDN w:val="0"/>
        <w:adjustRightInd w:val="0"/>
        <w:jc w:val="both"/>
        <w:rPr>
          <w:color w:val="000000"/>
          <w:sz w:val="24"/>
          <w:szCs w:val="24"/>
        </w:rPr>
      </w:pPr>
      <w:r w:rsidRPr="00B90DE8">
        <w:rPr>
          <w:i/>
          <w:iCs/>
          <w:color w:val="000000"/>
          <w:sz w:val="24"/>
          <w:szCs w:val="24"/>
        </w:rPr>
        <w:t xml:space="preserve">Return on Assets </w:t>
      </w:r>
      <w:r w:rsidRPr="00B90DE8">
        <w:rPr>
          <w:color w:val="000000"/>
          <w:sz w:val="24"/>
          <w:szCs w:val="24"/>
        </w:rPr>
        <w:t xml:space="preserve">(ROA) adalah rasio yang digunakan untuk mengukur kemampuan manajemen perusahaan dalam memperoleh laba bersih dari pengelolaan aset yang dimiliki. Semakin tinggi </w:t>
      </w:r>
      <w:r w:rsidRPr="00B90DE8">
        <w:rPr>
          <w:i/>
          <w:iCs/>
          <w:color w:val="000000"/>
          <w:sz w:val="24"/>
          <w:szCs w:val="24"/>
        </w:rPr>
        <w:t xml:space="preserve">Return on Assets </w:t>
      </w:r>
      <w:r w:rsidRPr="00B90DE8">
        <w:rPr>
          <w:color w:val="000000"/>
          <w:sz w:val="24"/>
          <w:szCs w:val="24"/>
        </w:rPr>
        <w:t>(ROA) maka akan semakin tinggi pula laba bersih yang dihasilkan dari setiap rupiah dana yang tertanam dalam total aset. Dengan mengetahui ROA kita dapat menilai apakah perusahaan telah efisien dalam menggunakan aktivanya dalam kegiatan operasi untuk menghasilkan keuntungan.</w:t>
      </w:r>
    </w:p>
    <w:p w:rsidR="0095203F" w:rsidRPr="00B90DE8" w:rsidRDefault="0095203F" w:rsidP="00B90DE8">
      <w:pPr>
        <w:autoSpaceDE w:val="0"/>
        <w:autoSpaceDN w:val="0"/>
        <w:adjustRightInd w:val="0"/>
        <w:jc w:val="both"/>
        <w:rPr>
          <w:color w:val="000000"/>
          <w:sz w:val="24"/>
          <w:szCs w:val="24"/>
        </w:rPr>
      </w:pPr>
    </w:p>
    <w:p w:rsidR="0006085F" w:rsidRDefault="00B90DE8" w:rsidP="00B90DE8">
      <w:pPr>
        <w:autoSpaceDE w:val="0"/>
        <w:autoSpaceDN w:val="0"/>
        <w:adjustRightInd w:val="0"/>
        <w:jc w:val="both"/>
        <w:rPr>
          <w:color w:val="000000"/>
          <w:sz w:val="24"/>
          <w:szCs w:val="24"/>
        </w:rPr>
        <w:sectPr w:rsidR="0006085F" w:rsidSect="0006085F">
          <w:type w:val="continuous"/>
          <w:pgSz w:w="11906" w:h="16838"/>
          <w:pgMar w:top="1418" w:right="1276" w:bottom="1418" w:left="1276" w:header="709" w:footer="1134" w:gutter="0"/>
          <w:cols w:num="2" w:space="510"/>
          <w:docGrid w:linePitch="360"/>
        </w:sectPr>
      </w:pPr>
      <w:r w:rsidRPr="00B90DE8">
        <w:rPr>
          <w:color w:val="000000"/>
          <w:sz w:val="24"/>
          <w:szCs w:val="24"/>
        </w:rPr>
        <w:t xml:space="preserve">Adapun perhitungan </w:t>
      </w:r>
      <w:r w:rsidRPr="00B90DE8">
        <w:rPr>
          <w:i/>
          <w:iCs/>
          <w:color w:val="000000"/>
          <w:sz w:val="24"/>
          <w:szCs w:val="24"/>
        </w:rPr>
        <w:t xml:space="preserve">Return On Assets </w:t>
      </w:r>
      <w:r w:rsidRPr="00B90DE8">
        <w:rPr>
          <w:color w:val="000000"/>
          <w:sz w:val="24"/>
          <w:szCs w:val="24"/>
        </w:rPr>
        <w:t>(ROA) pada PT. Surya Eka Lestari Ogan Komering Ulu pada tahun 2013-2017 yang dapat dihitung dengan menggunakan rumus :</w:t>
      </w:r>
    </w:p>
    <w:p w:rsidR="00B90DE8" w:rsidRPr="00B90DE8" w:rsidRDefault="00B90DE8" w:rsidP="00B90DE8">
      <w:pPr>
        <w:autoSpaceDE w:val="0"/>
        <w:autoSpaceDN w:val="0"/>
        <w:adjustRightInd w:val="0"/>
        <w:jc w:val="both"/>
        <w:rPr>
          <w:color w:val="000000"/>
          <w:sz w:val="24"/>
          <w:szCs w:val="24"/>
        </w:rPr>
      </w:pPr>
    </w:p>
    <w:p w:rsidR="00E956CA" w:rsidRPr="00E956CA" w:rsidRDefault="00E956CA" w:rsidP="00E956CA">
      <w:pPr>
        <w:autoSpaceDE w:val="0"/>
        <w:autoSpaceDN w:val="0"/>
        <w:adjustRightInd w:val="0"/>
        <w:rPr>
          <w:color w:val="000000"/>
          <w:sz w:val="24"/>
          <w:szCs w:val="24"/>
        </w:rPr>
      </w:pPr>
    </w:p>
    <w:p w:rsidR="00E956CA" w:rsidRPr="00E956CA" w:rsidRDefault="00E956CA" w:rsidP="00E956CA">
      <w:pPr>
        <w:autoSpaceDE w:val="0"/>
        <w:autoSpaceDN w:val="0"/>
        <w:adjustRightInd w:val="0"/>
        <w:rPr>
          <w:color w:val="000000"/>
          <w:sz w:val="24"/>
          <w:szCs w:val="24"/>
        </w:rPr>
      </w:pPr>
      <m:oMathPara>
        <m:oMathParaPr>
          <m:jc m:val="center"/>
        </m:oMathParaPr>
        <m:oMath>
          <m:r>
            <m:rPr>
              <m:sty m:val="p"/>
            </m:rPr>
            <w:rPr>
              <w:rFonts w:ascii="Cambria Math" w:hAnsi="Cambria Math"/>
              <w:color w:val="000000"/>
              <w:sz w:val="24"/>
              <w:szCs w:val="24"/>
            </w:rPr>
            <m:t>ROA</m:t>
          </m:r>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Laba Bersih</m:t>
              </m:r>
            </m:num>
            <m:den>
              <m:r>
                <w:rPr>
                  <w:rFonts w:ascii="Cambria Math" w:hAnsi="Cambria Math"/>
                  <w:color w:val="000000"/>
                  <w:sz w:val="24"/>
                  <w:szCs w:val="24"/>
                </w:rPr>
                <m:t>Total Aset</m:t>
              </m:r>
            </m:den>
          </m:f>
          <m:r>
            <w:rPr>
              <w:rFonts w:ascii="Cambria Math" w:hAnsi="Cambria Math"/>
              <w:color w:val="000000"/>
              <w:sz w:val="24"/>
              <w:szCs w:val="24"/>
            </w:rPr>
            <m:t>x 100%</m:t>
          </m:r>
        </m:oMath>
      </m:oMathPara>
    </w:p>
    <w:p w:rsidR="00E956CA" w:rsidRPr="00E956CA" w:rsidRDefault="00E956CA" w:rsidP="00E956CA">
      <w:pPr>
        <w:autoSpaceDE w:val="0"/>
        <w:autoSpaceDN w:val="0"/>
        <w:adjustRightInd w:val="0"/>
        <w:rPr>
          <w:sz w:val="24"/>
          <w:szCs w:val="24"/>
        </w:rPr>
      </w:pPr>
    </w:p>
    <w:p w:rsidR="00E956CA" w:rsidRPr="00E956CA" w:rsidRDefault="00E956CA" w:rsidP="00E956CA">
      <w:pPr>
        <w:autoSpaceDE w:val="0"/>
        <w:autoSpaceDN w:val="0"/>
        <w:adjustRightInd w:val="0"/>
        <w:rPr>
          <w:color w:val="000000"/>
          <w:sz w:val="24"/>
          <w:szCs w:val="24"/>
        </w:rPr>
      </w:pPr>
      <m:oMathPara>
        <m:oMath>
          <m:r>
            <w:rPr>
              <w:rFonts w:ascii="Cambria Math" w:hAnsi="Cambria Math"/>
              <w:color w:val="000000"/>
              <w:sz w:val="24"/>
              <w:szCs w:val="24"/>
            </w:rPr>
            <m:t xml:space="preserve">-Return On Assets </m:t>
          </m:r>
          <m:d>
            <m:dPr>
              <m:ctrlPr>
                <w:rPr>
                  <w:rFonts w:ascii="Cambria Math" w:hAnsi="Cambria Math"/>
                  <w:i/>
                  <w:color w:val="000000"/>
                  <w:sz w:val="24"/>
                  <w:szCs w:val="24"/>
                </w:rPr>
              </m:ctrlPr>
            </m:dPr>
            <m:e>
              <m:r>
                <w:rPr>
                  <w:rFonts w:ascii="Cambria Math" w:hAnsi="Cambria Math"/>
                  <w:color w:val="000000"/>
                  <w:sz w:val="24"/>
                  <w:szCs w:val="24"/>
                </w:rPr>
                <m:t>ROA</m:t>
              </m:r>
            </m:e>
          </m:d>
          <m:r>
            <m:rPr>
              <m:sty m:val="p"/>
            </m:rPr>
            <w:rPr>
              <w:rFonts w:ascii="Cambria Math" w:hAnsi="Cambria Math"/>
              <w:color w:val="000000"/>
              <w:sz w:val="24"/>
              <w:szCs w:val="24"/>
            </w:rPr>
            <m:t xml:space="preserve"> tahun 2013=</m:t>
          </m:r>
          <m:f>
            <m:fPr>
              <m:ctrlPr>
                <w:rPr>
                  <w:rFonts w:ascii="Cambria Math" w:hAnsi="Cambria Math"/>
                  <w:i/>
                  <w:color w:val="000000"/>
                  <w:sz w:val="24"/>
                  <w:szCs w:val="24"/>
                </w:rPr>
              </m:ctrlPr>
            </m:fPr>
            <m:num>
              <m:r>
                <w:rPr>
                  <w:rFonts w:ascii="Cambria Math" w:hAnsi="Cambria Math"/>
                  <w:color w:val="000000"/>
                  <w:sz w:val="24"/>
                  <w:szCs w:val="24"/>
                </w:rPr>
                <m:t>84.793.720</m:t>
              </m:r>
            </m:num>
            <m:den>
              <m:r>
                <w:rPr>
                  <w:rFonts w:ascii="Cambria Math" w:hAnsi="Cambria Math"/>
                  <w:color w:val="000000"/>
                  <w:sz w:val="24"/>
                  <w:szCs w:val="24"/>
                </w:rPr>
                <m:t>295.735.300</m:t>
              </m:r>
            </m:den>
          </m:f>
          <m:r>
            <w:rPr>
              <w:rFonts w:ascii="Cambria Math" w:hAnsi="Cambria Math"/>
              <w:color w:val="000000"/>
              <w:sz w:val="24"/>
              <w:szCs w:val="24"/>
            </w:rPr>
            <m:t>x 100%=28,67%</m:t>
          </m:r>
        </m:oMath>
      </m:oMathPara>
    </w:p>
    <w:p w:rsidR="00E956CA" w:rsidRPr="00E956CA" w:rsidRDefault="00E956CA" w:rsidP="00E956CA">
      <w:pPr>
        <w:autoSpaceDE w:val="0"/>
        <w:autoSpaceDN w:val="0"/>
        <w:adjustRightInd w:val="0"/>
        <w:rPr>
          <w:color w:val="000000"/>
          <w:sz w:val="24"/>
          <w:szCs w:val="24"/>
        </w:rPr>
      </w:pPr>
    </w:p>
    <w:p w:rsidR="0006085F" w:rsidRDefault="0006085F" w:rsidP="00E956CA">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06085F" w:rsidRDefault="00E956CA" w:rsidP="00E956CA">
      <w:pPr>
        <w:autoSpaceDE w:val="0"/>
        <w:autoSpaceDN w:val="0"/>
        <w:adjustRightInd w:val="0"/>
        <w:jc w:val="both"/>
        <w:rPr>
          <w:color w:val="000000"/>
          <w:sz w:val="24"/>
          <w:szCs w:val="24"/>
        </w:rPr>
        <w:sectPr w:rsidR="0006085F" w:rsidSect="0006085F">
          <w:type w:val="continuous"/>
          <w:pgSz w:w="11906" w:h="16838"/>
          <w:pgMar w:top="1418" w:right="1276" w:bottom="1418" w:left="1276" w:header="709" w:footer="1134" w:gutter="0"/>
          <w:cols w:num="2" w:space="510"/>
          <w:docGrid w:linePitch="360"/>
        </w:sectPr>
      </w:pPr>
      <w:r w:rsidRPr="00E956CA">
        <w:rPr>
          <w:color w:val="000000"/>
          <w:sz w:val="24"/>
          <w:szCs w:val="24"/>
        </w:rPr>
        <w:lastRenderedPageBreak/>
        <w:t xml:space="preserve">Dari hasil perhitungan diatas jumlah ROA pada tahun 2013 yang dicapai sebesar 28,67%, dari total aset yang di operasikan sebesar Rp.295.735.300 . Perusahaan mampu </w:t>
      </w:r>
      <w:r w:rsidRPr="00E956CA">
        <w:rPr>
          <w:color w:val="000000"/>
          <w:sz w:val="24"/>
          <w:szCs w:val="24"/>
        </w:rPr>
        <w:lastRenderedPageBreak/>
        <w:t>menghasilkan laba bersih sebesar Rp.84.793.720. Artinya, setiap Rp.1 total aset turut berkontribusi menciptakan Rp.0,286 (dibulatkan Rp.0,29) laba bersih.</w:t>
      </w:r>
    </w:p>
    <w:p w:rsidR="00E956CA" w:rsidRPr="00E956CA" w:rsidRDefault="00E956CA" w:rsidP="00E956CA">
      <w:pPr>
        <w:autoSpaceDE w:val="0"/>
        <w:autoSpaceDN w:val="0"/>
        <w:adjustRightInd w:val="0"/>
        <w:jc w:val="both"/>
        <w:rPr>
          <w:color w:val="000000"/>
          <w:sz w:val="24"/>
          <w:szCs w:val="24"/>
        </w:rPr>
      </w:pPr>
    </w:p>
    <w:p w:rsidR="00E956CA" w:rsidRPr="00E956CA" w:rsidRDefault="00E956CA" w:rsidP="00E956CA">
      <w:pPr>
        <w:autoSpaceDE w:val="0"/>
        <w:autoSpaceDN w:val="0"/>
        <w:adjustRightInd w:val="0"/>
        <w:jc w:val="both"/>
        <w:rPr>
          <w:color w:val="000000"/>
          <w:sz w:val="24"/>
          <w:szCs w:val="24"/>
        </w:rPr>
      </w:pPr>
    </w:p>
    <w:p w:rsidR="00E956CA" w:rsidRPr="00E956CA" w:rsidRDefault="00E956CA" w:rsidP="00E956CA">
      <w:pPr>
        <w:autoSpaceDE w:val="0"/>
        <w:autoSpaceDN w:val="0"/>
        <w:adjustRightInd w:val="0"/>
        <w:rPr>
          <w:color w:val="000000"/>
          <w:sz w:val="24"/>
          <w:szCs w:val="24"/>
        </w:rPr>
      </w:pPr>
      <m:oMathPara>
        <m:oMath>
          <m:r>
            <w:rPr>
              <w:rFonts w:ascii="Cambria Math" w:hAnsi="Cambria Math"/>
              <w:color w:val="000000"/>
              <w:sz w:val="24"/>
              <w:szCs w:val="24"/>
            </w:rPr>
            <m:t xml:space="preserve">-Return On Assets </m:t>
          </m:r>
          <m:d>
            <m:dPr>
              <m:ctrlPr>
                <w:rPr>
                  <w:rFonts w:ascii="Cambria Math" w:hAnsi="Cambria Math"/>
                  <w:i/>
                  <w:color w:val="000000"/>
                  <w:sz w:val="24"/>
                  <w:szCs w:val="24"/>
                </w:rPr>
              </m:ctrlPr>
            </m:dPr>
            <m:e>
              <m:r>
                <w:rPr>
                  <w:rFonts w:ascii="Cambria Math" w:hAnsi="Cambria Math"/>
                  <w:color w:val="000000"/>
                  <w:sz w:val="24"/>
                  <w:szCs w:val="24"/>
                </w:rPr>
                <m:t>ROA</m:t>
              </m:r>
            </m:e>
          </m:d>
          <m:r>
            <m:rPr>
              <m:sty m:val="p"/>
            </m:rPr>
            <w:rPr>
              <w:rFonts w:ascii="Cambria Math" w:hAnsi="Cambria Math"/>
              <w:color w:val="000000"/>
              <w:sz w:val="24"/>
              <w:szCs w:val="24"/>
            </w:rPr>
            <m:t xml:space="preserve"> tahun 2014=</m:t>
          </m:r>
          <m:f>
            <m:fPr>
              <m:ctrlPr>
                <w:rPr>
                  <w:rFonts w:ascii="Cambria Math" w:hAnsi="Cambria Math"/>
                  <w:i/>
                  <w:color w:val="000000"/>
                  <w:sz w:val="24"/>
                  <w:szCs w:val="24"/>
                </w:rPr>
              </m:ctrlPr>
            </m:fPr>
            <m:num>
              <m:r>
                <w:rPr>
                  <w:rFonts w:ascii="Cambria Math" w:hAnsi="Cambria Math"/>
                  <w:color w:val="000000"/>
                  <w:sz w:val="24"/>
                  <w:szCs w:val="24"/>
                </w:rPr>
                <m:t>234.952.556</m:t>
              </m:r>
            </m:num>
            <m:den>
              <m:r>
                <w:rPr>
                  <w:rFonts w:ascii="Cambria Math" w:hAnsi="Cambria Math"/>
                  <w:color w:val="000000"/>
                  <w:sz w:val="24"/>
                  <w:szCs w:val="24"/>
                </w:rPr>
                <m:t>573.625.426</m:t>
              </m:r>
            </m:den>
          </m:f>
          <m:r>
            <w:rPr>
              <w:rFonts w:ascii="Cambria Math" w:hAnsi="Cambria Math"/>
              <w:color w:val="000000"/>
              <w:sz w:val="24"/>
              <w:szCs w:val="24"/>
            </w:rPr>
            <m:t>x 100%=40,96%</m:t>
          </m:r>
        </m:oMath>
      </m:oMathPara>
    </w:p>
    <w:p w:rsidR="00E956CA" w:rsidRPr="00E956CA" w:rsidRDefault="00E956CA" w:rsidP="00E956CA">
      <w:pPr>
        <w:autoSpaceDE w:val="0"/>
        <w:autoSpaceDN w:val="0"/>
        <w:adjustRightInd w:val="0"/>
        <w:rPr>
          <w:color w:val="000000"/>
          <w:sz w:val="24"/>
          <w:szCs w:val="24"/>
        </w:rPr>
      </w:pPr>
    </w:p>
    <w:p w:rsidR="0006085F" w:rsidRDefault="0006085F" w:rsidP="00E956CA">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06085F" w:rsidRDefault="00E956CA" w:rsidP="00E956CA">
      <w:pPr>
        <w:autoSpaceDE w:val="0"/>
        <w:autoSpaceDN w:val="0"/>
        <w:adjustRightInd w:val="0"/>
        <w:jc w:val="both"/>
        <w:rPr>
          <w:color w:val="000000"/>
          <w:sz w:val="24"/>
          <w:szCs w:val="24"/>
        </w:rPr>
      </w:pPr>
      <w:r w:rsidRPr="00E956CA">
        <w:rPr>
          <w:color w:val="000000"/>
          <w:sz w:val="24"/>
          <w:szCs w:val="24"/>
        </w:rPr>
        <w:lastRenderedPageBreak/>
        <w:t xml:space="preserve">Dari hasil perhitungan diatas jumlah ROA pada tahun 2014 yang dicapai sebesar 40,96%, dari total aset yang dioperasikan sebesar Rp.573.625.426 perusahaan mampu menghasilkan laba bersih sebesar Rp.234.952.556. Artinya, setiap Rp.1 total aset turut berkontribusi menciptakan </w:t>
      </w:r>
      <w:r w:rsidRPr="00E956CA">
        <w:rPr>
          <w:color w:val="000000"/>
          <w:sz w:val="24"/>
          <w:szCs w:val="24"/>
        </w:rPr>
        <w:lastRenderedPageBreak/>
        <w:t>Rp.0,409 (dibulatkan Rp.0,41) laba bersih. Hasil ini menunjukkan bahwa tingkat pengembalian atas aset mengalami kenaikan sebesar 12,29% dari tahun sebelumnya. Dengan demikian telah terjadi peningkatan kinerja manajemen dalam menghasilkan laba bagi perusahaan.</w:t>
      </w:r>
    </w:p>
    <w:p w:rsidR="0006085F" w:rsidRDefault="0006085F" w:rsidP="00E956CA">
      <w:pPr>
        <w:autoSpaceDE w:val="0"/>
        <w:autoSpaceDN w:val="0"/>
        <w:adjustRightInd w:val="0"/>
        <w:jc w:val="both"/>
        <w:rPr>
          <w:color w:val="000000"/>
          <w:sz w:val="24"/>
          <w:szCs w:val="24"/>
        </w:rPr>
        <w:sectPr w:rsidR="0006085F" w:rsidSect="0006085F">
          <w:type w:val="continuous"/>
          <w:pgSz w:w="11906" w:h="16838"/>
          <w:pgMar w:top="1418" w:right="1276" w:bottom="1418" w:left="1276" w:header="709" w:footer="1134" w:gutter="0"/>
          <w:cols w:num="2" w:space="510"/>
          <w:docGrid w:linePitch="360"/>
        </w:sectPr>
      </w:pPr>
    </w:p>
    <w:p w:rsidR="00E956CA" w:rsidRPr="00E956CA" w:rsidRDefault="00E956CA" w:rsidP="00E956CA">
      <w:pPr>
        <w:autoSpaceDE w:val="0"/>
        <w:autoSpaceDN w:val="0"/>
        <w:adjustRightInd w:val="0"/>
        <w:jc w:val="both"/>
        <w:rPr>
          <w:color w:val="000000"/>
          <w:sz w:val="24"/>
          <w:szCs w:val="24"/>
        </w:rPr>
      </w:pPr>
    </w:p>
    <w:p w:rsidR="00E956CA" w:rsidRPr="00E956CA" w:rsidRDefault="00E956CA" w:rsidP="00E956CA">
      <w:pPr>
        <w:autoSpaceDE w:val="0"/>
        <w:autoSpaceDN w:val="0"/>
        <w:adjustRightInd w:val="0"/>
        <w:rPr>
          <w:color w:val="000000"/>
          <w:sz w:val="24"/>
          <w:szCs w:val="24"/>
        </w:rPr>
      </w:pPr>
    </w:p>
    <w:p w:rsidR="00E956CA" w:rsidRPr="00E956CA" w:rsidRDefault="00E956CA" w:rsidP="00E956CA">
      <w:pPr>
        <w:autoSpaceDE w:val="0"/>
        <w:autoSpaceDN w:val="0"/>
        <w:adjustRightInd w:val="0"/>
        <w:rPr>
          <w:color w:val="000000"/>
          <w:sz w:val="24"/>
          <w:szCs w:val="24"/>
        </w:rPr>
      </w:pPr>
      <m:oMathPara>
        <m:oMath>
          <m:r>
            <w:rPr>
              <w:rFonts w:ascii="Cambria Math" w:hAnsi="Cambria Math"/>
              <w:color w:val="000000"/>
              <w:sz w:val="24"/>
              <w:szCs w:val="24"/>
            </w:rPr>
            <m:t xml:space="preserve">-Return On Assets </m:t>
          </m:r>
          <m:d>
            <m:dPr>
              <m:ctrlPr>
                <w:rPr>
                  <w:rFonts w:ascii="Cambria Math" w:hAnsi="Cambria Math"/>
                  <w:i/>
                  <w:color w:val="000000"/>
                  <w:sz w:val="24"/>
                  <w:szCs w:val="24"/>
                </w:rPr>
              </m:ctrlPr>
            </m:dPr>
            <m:e>
              <m:r>
                <w:rPr>
                  <w:rFonts w:ascii="Cambria Math" w:hAnsi="Cambria Math"/>
                  <w:color w:val="000000"/>
                  <w:sz w:val="24"/>
                  <w:szCs w:val="24"/>
                </w:rPr>
                <m:t>ROA</m:t>
              </m:r>
            </m:e>
          </m:d>
          <m:r>
            <m:rPr>
              <m:sty m:val="p"/>
            </m:rPr>
            <w:rPr>
              <w:rFonts w:ascii="Cambria Math" w:hAnsi="Cambria Math"/>
              <w:color w:val="000000"/>
              <w:sz w:val="24"/>
              <w:szCs w:val="24"/>
            </w:rPr>
            <m:t xml:space="preserve"> tahun 2015=</m:t>
          </m:r>
          <m:f>
            <m:fPr>
              <m:ctrlPr>
                <w:rPr>
                  <w:rFonts w:ascii="Cambria Math" w:hAnsi="Cambria Math"/>
                  <w:i/>
                  <w:color w:val="000000"/>
                  <w:sz w:val="24"/>
                  <w:szCs w:val="24"/>
                </w:rPr>
              </m:ctrlPr>
            </m:fPr>
            <m:num>
              <m:r>
                <w:rPr>
                  <w:rFonts w:ascii="Cambria Math" w:hAnsi="Cambria Math"/>
                  <w:color w:val="000000"/>
                  <w:sz w:val="24"/>
                  <w:szCs w:val="24"/>
                </w:rPr>
                <m:t>409.124.212</m:t>
              </m:r>
            </m:num>
            <m:den>
              <m:r>
                <w:rPr>
                  <w:rFonts w:ascii="Cambria Math" w:hAnsi="Cambria Math"/>
                  <w:color w:val="000000"/>
                  <w:sz w:val="24"/>
                  <w:szCs w:val="24"/>
                </w:rPr>
                <m:t>1.819.065.948</m:t>
              </m:r>
            </m:den>
          </m:f>
          <m:r>
            <w:rPr>
              <w:rFonts w:ascii="Cambria Math" w:hAnsi="Cambria Math"/>
              <w:color w:val="000000"/>
              <w:sz w:val="24"/>
              <w:szCs w:val="24"/>
            </w:rPr>
            <m:t>x 100%=22,49%</m:t>
          </m:r>
        </m:oMath>
      </m:oMathPara>
    </w:p>
    <w:p w:rsidR="00E956CA" w:rsidRPr="00E956CA" w:rsidRDefault="00E956CA" w:rsidP="00E956CA">
      <w:pPr>
        <w:autoSpaceDE w:val="0"/>
        <w:autoSpaceDN w:val="0"/>
        <w:adjustRightInd w:val="0"/>
        <w:rPr>
          <w:color w:val="000000"/>
          <w:sz w:val="24"/>
          <w:szCs w:val="24"/>
        </w:rPr>
      </w:pPr>
    </w:p>
    <w:p w:rsidR="0006085F" w:rsidRDefault="0006085F" w:rsidP="00E956CA">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06085F" w:rsidRDefault="00E956CA" w:rsidP="00E956CA">
      <w:pPr>
        <w:autoSpaceDE w:val="0"/>
        <w:autoSpaceDN w:val="0"/>
        <w:adjustRightInd w:val="0"/>
        <w:jc w:val="both"/>
        <w:rPr>
          <w:color w:val="000000"/>
          <w:sz w:val="24"/>
          <w:szCs w:val="24"/>
        </w:rPr>
        <w:sectPr w:rsidR="0006085F" w:rsidSect="0006085F">
          <w:type w:val="continuous"/>
          <w:pgSz w:w="11906" w:h="16838"/>
          <w:pgMar w:top="1418" w:right="1276" w:bottom="1418" w:left="1276" w:header="709" w:footer="1134" w:gutter="0"/>
          <w:cols w:num="2" w:space="510"/>
          <w:docGrid w:linePitch="360"/>
        </w:sectPr>
      </w:pPr>
      <w:r w:rsidRPr="00E956CA">
        <w:rPr>
          <w:color w:val="000000"/>
          <w:sz w:val="24"/>
          <w:szCs w:val="24"/>
        </w:rPr>
        <w:lastRenderedPageBreak/>
        <w:t xml:space="preserve">Dari hasil perhitungan diatas jumlah ROA pada tahun 2015 yang dicapai sebesar 22,49%, dari total aset yang dioperasikan sebesar Rp.1.819.065.948 perusahaan mampu menghasilkan laba bersih sebesar Rp.409.124.212. Artinya, setiap Rp.1 total aset turut berkontribusi menciptakan </w:t>
      </w:r>
      <w:r w:rsidRPr="00E956CA">
        <w:rPr>
          <w:color w:val="000000"/>
          <w:sz w:val="24"/>
          <w:szCs w:val="24"/>
        </w:rPr>
        <w:lastRenderedPageBreak/>
        <w:t>Rp.0,224 (dibulatkan Rp.0,22) laba bersih. Hasil ini menunjukkan bahwa tingkat pengembalian atas aset mengalami penurunan sebesar 18,47% dari tahun sebelumnya. Ini menunjukkan ketidakmampuan manajemen dalam memperoleh ROA.</w:t>
      </w:r>
    </w:p>
    <w:p w:rsidR="00E956CA" w:rsidRPr="00E956CA" w:rsidRDefault="00E956CA" w:rsidP="00E956CA">
      <w:pPr>
        <w:autoSpaceDE w:val="0"/>
        <w:autoSpaceDN w:val="0"/>
        <w:adjustRightInd w:val="0"/>
        <w:jc w:val="both"/>
        <w:rPr>
          <w:color w:val="000000"/>
          <w:sz w:val="24"/>
          <w:szCs w:val="24"/>
        </w:rPr>
      </w:pPr>
    </w:p>
    <w:p w:rsidR="00E956CA" w:rsidRPr="00E956CA" w:rsidRDefault="00E956CA" w:rsidP="00E956CA">
      <w:pPr>
        <w:autoSpaceDE w:val="0"/>
        <w:autoSpaceDN w:val="0"/>
        <w:adjustRightInd w:val="0"/>
        <w:jc w:val="both"/>
        <w:rPr>
          <w:color w:val="000000"/>
          <w:sz w:val="24"/>
          <w:szCs w:val="24"/>
        </w:rPr>
      </w:pPr>
    </w:p>
    <w:p w:rsidR="00E956CA" w:rsidRPr="00E956CA" w:rsidRDefault="00E956CA" w:rsidP="00E956CA">
      <w:pPr>
        <w:autoSpaceDE w:val="0"/>
        <w:autoSpaceDN w:val="0"/>
        <w:adjustRightInd w:val="0"/>
        <w:rPr>
          <w:color w:val="000000"/>
          <w:sz w:val="24"/>
          <w:szCs w:val="24"/>
        </w:rPr>
      </w:pPr>
      <m:oMathPara>
        <m:oMath>
          <m:r>
            <w:rPr>
              <w:rFonts w:ascii="Cambria Math" w:hAnsi="Cambria Math"/>
              <w:color w:val="000000"/>
              <w:sz w:val="24"/>
              <w:szCs w:val="24"/>
            </w:rPr>
            <m:t xml:space="preserve">-Return On Assets </m:t>
          </m:r>
          <m:d>
            <m:dPr>
              <m:ctrlPr>
                <w:rPr>
                  <w:rFonts w:ascii="Cambria Math" w:hAnsi="Cambria Math"/>
                  <w:i/>
                  <w:color w:val="000000"/>
                  <w:sz w:val="24"/>
                  <w:szCs w:val="24"/>
                </w:rPr>
              </m:ctrlPr>
            </m:dPr>
            <m:e>
              <m:r>
                <w:rPr>
                  <w:rFonts w:ascii="Cambria Math" w:hAnsi="Cambria Math"/>
                  <w:color w:val="000000"/>
                  <w:sz w:val="24"/>
                  <w:szCs w:val="24"/>
                </w:rPr>
                <m:t>ROA</m:t>
              </m:r>
            </m:e>
          </m:d>
          <m:r>
            <m:rPr>
              <m:sty m:val="p"/>
            </m:rPr>
            <w:rPr>
              <w:rFonts w:ascii="Cambria Math" w:hAnsi="Cambria Math"/>
              <w:color w:val="000000"/>
              <w:sz w:val="24"/>
              <w:szCs w:val="24"/>
            </w:rPr>
            <m:t xml:space="preserve"> tahun 2016=</m:t>
          </m:r>
          <m:f>
            <m:fPr>
              <m:ctrlPr>
                <w:rPr>
                  <w:rFonts w:ascii="Cambria Math" w:hAnsi="Cambria Math"/>
                  <w:i/>
                  <w:color w:val="000000"/>
                  <w:sz w:val="24"/>
                  <w:szCs w:val="24"/>
                </w:rPr>
              </m:ctrlPr>
            </m:fPr>
            <m:num>
              <m:r>
                <w:rPr>
                  <w:rFonts w:ascii="Cambria Math" w:hAnsi="Cambria Math"/>
                  <w:color w:val="000000"/>
                  <w:sz w:val="24"/>
                  <w:szCs w:val="24"/>
                </w:rPr>
                <m:t>362.636.285</m:t>
              </m:r>
            </m:num>
            <m:den>
              <m:r>
                <w:rPr>
                  <w:rFonts w:ascii="Cambria Math" w:hAnsi="Cambria Math"/>
                  <w:color w:val="000000"/>
                  <w:sz w:val="24"/>
                  <w:szCs w:val="24"/>
                </w:rPr>
                <m:t>2.595.177.426</m:t>
              </m:r>
            </m:den>
          </m:f>
          <m:r>
            <w:rPr>
              <w:rFonts w:ascii="Cambria Math" w:hAnsi="Cambria Math"/>
              <w:color w:val="000000"/>
              <w:sz w:val="24"/>
              <w:szCs w:val="24"/>
            </w:rPr>
            <m:t>x 100%=13,97%</m:t>
          </m:r>
        </m:oMath>
      </m:oMathPara>
    </w:p>
    <w:p w:rsidR="00E956CA" w:rsidRPr="00E956CA" w:rsidRDefault="00E956CA" w:rsidP="00E956CA">
      <w:pPr>
        <w:autoSpaceDE w:val="0"/>
        <w:autoSpaceDN w:val="0"/>
        <w:adjustRightInd w:val="0"/>
        <w:jc w:val="both"/>
        <w:rPr>
          <w:color w:val="000000"/>
          <w:sz w:val="24"/>
          <w:szCs w:val="24"/>
        </w:rPr>
      </w:pPr>
    </w:p>
    <w:p w:rsidR="0006085F" w:rsidRDefault="0006085F" w:rsidP="00E956CA">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E956CA" w:rsidRPr="00E956CA" w:rsidRDefault="00E956CA" w:rsidP="00E956CA">
      <w:pPr>
        <w:autoSpaceDE w:val="0"/>
        <w:autoSpaceDN w:val="0"/>
        <w:adjustRightInd w:val="0"/>
        <w:jc w:val="both"/>
        <w:rPr>
          <w:color w:val="000000"/>
          <w:sz w:val="24"/>
          <w:szCs w:val="24"/>
        </w:rPr>
      </w:pPr>
      <w:r w:rsidRPr="00E956CA">
        <w:rPr>
          <w:color w:val="000000"/>
          <w:sz w:val="24"/>
          <w:szCs w:val="24"/>
        </w:rPr>
        <w:lastRenderedPageBreak/>
        <w:t xml:space="preserve">Dari hasil perhitungan diatas jumlah ROA pada tahun 2016 yang dicapai sebesar 13,97%, dari total aset yang dioperasikan sebesar Rp.2.595.177.426 perusahaan mampu menghasilkan laba bersih sebesar Rp.362.636.285. Artinya, setiap Rp.1 total aset turut berkontribusi menciptakan Rp.0,139 (dibulatkan Rp.0,14) laba bersih. </w:t>
      </w:r>
      <w:r w:rsidRPr="00E956CA">
        <w:rPr>
          <w:color w:val="000000"/>
          <w:sz w:val="24"/>
          <w:szCs w:val="24"/>
        </w:rPr>
        <w:lastRenderedPageBreak/>
        <w:t>Hasil ini menunjukkan bahwa tingkat pengembalian atas aset mengalami penurunan sebesar 8,52% dari tahun sebelumnya. Dengan demikian, telah terjadi penurunan kinerja manajemen dalam menghasilkan laba bagi perusahaan. Ini menunjukkan ketidakmampuan manajemen dalam memperoleh ROA.</w:t>
      </w:r>
    </w:p>
    <w:p w:rsidR="0006085F" w:rsidRDefault="0006085F" w:rsidP="00E956CA">
      <w:pPr>
        <w:autoSpaceDE w:val="0"/>
        <w:autoSpaceDN w:val="0"/>
        <w:adjustRightInd w:val="0"/>
        <w:jc w:val="both"/>
        <w:rPr>
          <w:color w:val="000000"/>
          <w:sz w:val="24"/>
          <w:szCs w:val="24"/>
        </w:rPr>
        <w:sectPr w:rsidR="0006085F" w:rsidSect="0006085F">
          <w:type w:val="continuous"/>
          <w:pgSz w:w="11906" w:h="16838"/>
          <w:pgMar w:top="1418" w:right="1276" w:bottom="1418" w:left="1276" w:header="709" w:footer="1134" w:gutter="0"/>
          <w:cols w:num="2" w:space="510"/>
          <w:docGrid w:linePitch="360"/>
        </w:sectPr>
      </w:pPr>
    </w:p>
    <w:p w:rsidR="00E956CA" w:rsidRPr="00E956CA" w:rsidRDefault="00E956CA" w:rsidP="00E956CA">
      <w:pPr>
        <w:autoSpaceDE w:val="0"/>
        <w:autoSpaceDN w:val="0"/>
        <w:adjustRightInd w:val="0"/>
        <w:jc w:val="both"/>
        <w:rPr>
          <w:color w:val="000000"/>
          <w:sz w:val="24"/>
          <w:szCs w:val="24"/>
        </w:rPr>
      </w:pPr>
    </w:p>
    <w:p w:rsidR="00E956CA" w:rsidRPr="00E956CA" w:rsidRDefault="00E956CA" w:rsidP="00E956CA">
      <w:pPr>
        <w:autoSpaceDE w:val="0"/>
        <w:autoSpaceDN w:val="0"/>
        <w:adjustRightInd w:val="0"/>
        <w:rPr>
          <w:color w:val="000000"/>
          <w:sz w:val="24"/>
          <w:szCs w:val="24"/>
        </w:rPr>
      </w:pPr>
      <m:oMathPara>
        <m:oMath>
          <m:r>
            <w:rPr>
              <w:rFonts w:ascii="Cambria Math" w:hAnsi="Cambria Math"/>
              <w:color w:val="000000"/>
              <w:sz w:val="24"/>
              <w:szCs w:val="24"/>
            </w:rPr>
            <m:t xml:space="preserve">-Return On Assets </m:t>
          </m:r>
          <m:d>
            <m:dPr>
              <m:ctrlPr>
                <w:rPr>
                  <w:rFonts w:ascii="Cambria Math" w:hAnsi="Cambria Math"/>
                  <w:i/>
                  <w:color w:val="000000"/>
                  <w:sz w:val="24"/>
                  <w:szCs w:val="24"/>
                </w:rPr>
              </m:ctrlPr>
            </m:dPr>
            <m:e>
              <m:r>
                <w:rPr>
                  <w:rFonts w:ascii="Cambria Math" w:hAnsi="Cambria Math"/>
                  <w:color w:val="000000"/>
                  <w:sz w:val="24"/>
                  <w:szCs w:val="24"/>
                </w:rPr>
                <m:t>ROA</m:t>
              </m:r>
            </m:e>
          </m:d>
          <m:r>
            <m:rPr>
              <m:sty m:val="p"/>
            </m:rPr>
            <w:rPr>
              <w:rFonts w:ascii="Cambria Math" w:hAnsi="Cambria Math"/>
              <w:color w:val="000000"/>
              <w:sz w:val="24"/>
              <w:szCs w:val="24"/>
            </w:rPr>
            <m:t xml:space="preserve"> tahun 2017=</m:t>
          </m:r>
          <m:f>
            <m:fPr>
              <m:ctrlPr>
                <w:rPr>
                  <w:rFonts w:ascii="Cambria Math" w:hAnsi="Cambria Math"/>
                  <w:i/>
                  <w:color w:val="000000"/>
                  <w:sz w:val="24"/>
                  <w:szCs w:val="24"/>
                </w:rPr>
              </m:ctrlPr>
            </m:fPr>
            <m:num>
              <m:r>
                <w:rPr>
                  <w:rFonts w:ascii="Cambria Math" w:hAnsi="Cambria Math"/>
                  <w:color w:val="000000"/>
                  <w:sz w:val="24"/>
                  <w:szCs w:val="24"/>
                </w:rPr>
                <m:t>1.556.167.053</m:t>
              </m:r>
            </m:num>
            <m:den>
              <m:r>
                <w:rPr>
                  <w:rFonts w:ascii="Cambria Math" w:hAnsi="Cambria Math"/>
                  <w:color w:val="000000"/>
                  <w:sz w:val="24"/>
                  <w:szCs w:val="24"/>
                </w:rPr>
                <m:t>3.224.751.552</m:t>
              </m:r>
            </m:den>
          </m:f>
          <m:r>
            <w:rPr>
              <w:rFonts w:ascii="Cambria Math" w:hAnsi="Cambria Math"/>
              <w:color w:val="000000"/>
              <w:sz w:val="24"/>
              <w:szCs w:val="24"/>
            </w:rPr>
            <m:t>x 100%=48,26%</m:t>
          </m:r>
        </m:oMath>
      </m:oMathPara>
    </w:p>
    <w:p w:rsidR="00E956CA" w:rsidRPr="00E956CA" w:rsidRDefault="00E956CA" w:rsidP="00E956CA">
      <w:pPr>
        <w:autoSpaceDE w:val="0"/>
        <w:autoSpaceDN w:val="0"/>
        <w:adjustRightInd w:val="0"/>
        <w:rPr>
          <w:color w:val="000000"/>
          <w:sz w:val="24"/>
          <w:szCs w:val="24"/>
        </w:rPr>
      </w:pPr>
    </w:p>
    <w:p w:rsidR="0006085F" w:rsidRDefault="0006085F" w:rsidP="00E956CA">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E956CA" w:rsidRPr="00E956CA" w:rsidRDefault="00E956CA" w:rsidP="00E956CA">
      <w:pPr>
        <w:autoSpaceDE w:val="0"/>
        <w:autoSpaceDN w:val="0"/>
        <w:adjustRightInd w:val="0"/>
        <w:jc w:val="both"/>
        <w:rPr>
          <w:color w:val="000000"/>
          <w:sz w:val="24"/>
          <w:szCs w:val="24"/>
        </w:rPr>
      </w:pPr>
      <w:r w:rsidRPr="00E956CA">
        <w:rPr>
          <w:color w:val="000000"/>
          <w:sz w:val="24"/>
          <w:szCs w:val="24"/>
        </w:rPr>
        <w:lastRenderedPageBreak/>
        <w:t xml:space="preserve">Dari hasil perhitungan diatas jumlah ROA pada tahun 2017 yang dicapai sebesar 48,26%, dari total aset yang dioperasikan sebesar Rp.3.224.751.552. Perusahaan mampu menghasilkan laba bersih sebesar Rp.1.556.167.053. Artinya, setiap Rp.1 total aset turut berkontribusi menciptakan Rp.0,482 (dibulatkan Rp.0,48) laba bersih. Hasil ini menunjukkan bahwa tingkat pengembalian atas aset mengalami kenaikan sebesar 34,29% dari tahun sebelumnya. </w:t>
      </w:r>
      <w:r w:rsidRPr="00E956CA">
        <w:rPr>
          <w:color w:val="000000"/>
          <w:sz w:val="24"/>
          <w:szCs w:val="24"/>
        </w:rPr>
        <w:lastRenderedPageBreak/>
        <w:t xml:space="preserve">Dengan demikian telah terjadi peningkatan kinerja manajemen dalam menghasilkan laba bagi perusahaan. Berdasarkan hasil perhitungan diatas maka terlihat adanya perubahan </w:t>
      </w:r>
      <w:r w:rsidRPr="00E956CA">
        <w:rPr>
          <w:i/>
          <w:iCs/>
          <w:color w:val="000000"/>
          <w:sz w:val="24"/>
          <w:szCs w:val="24"/>
        </w:rPr>
        <w:t xml:space="preserve">Return On Assets </w:t>
      </w:r>
      <w:r w:rsidRPr="00E956CA">
        <w:rPr>
          <w:color w:val="000000"/>
          <w:sz w:val="24"/>
          <w:szCs w:val="24"/>
        </w:rPr>
        <w:t xml:space="preserve">(ROA) pada PT. Surya Eka Lestari Ogan Komering Ulu dari tahun 2013 sampai 2017. Untuk lebih mengetahui peningkatan atau penurunan yang terjadi pada </w:t>
      </w:r>
      <w:r w:rsidRPr="00E956CA">
        <w:rPr>
          <w:i/>
          <w:iCs/>
          <w:color w:val="000000"/>
          <w:sz w:val="24"/>
          <w:szCs w:val="24"/>
        </w:rPr>
        <w:t xml:space="preserve">Return On Assets </w:t>
      </w:r>
      <w:r w:rsidRPr="00E956CA">
        <w:rPr>
          <w:color w:val="000000"/>
          <w:sz w:val="24"/>
          <w:szCs w:val="24"/>
        </w:rPr>
        <w:t>(ROA) dapat dilihat pada grafik dan tabel di bawah ini :</w:t>
      </w:r>
    </w:p>
    <w:p w:rsidR="0006085F" w:rsidRDefault="0006085F" w:rsidP="00E956CA">
      <w:pPr>
        <w:autoSpaceDE w:val="0"/>
        <w:autoSpaceDN w:val="0"/>
        <w:adjustRightInd w:val="0"/>
        <w:rPr>
          <w:color w:val="000000"/>
          <w:sz w:val="24"/>
          <w:szCs w:val="24"/>
        </w:rPr>
        <w:sectPr w:rsidR="0006085F" w:rsidSect="0006085F">
          <w:type w:val="continuous"/>
          <w:pgSz w:w="11906" w:h="16838"/>
          <w:pgMar w:top="1418" w:right="1276" w:bottom="1418" w:left="1276" w:header="709" w:footer="1134" w:gutter="0"/>
          <w:cols w:num="2" w:space="510"/>
          <w:docGrid w:linePitch="360"/>
        </w:sectPr>
      </w:pPr>
    </w:p>
    <w:p w:rsidR="00E956CA" w:rsidRPr="00E956CA" w:rsidRDefault="00E956CA" w:rsidP="00E956CA">
      <w:pPr>
        <w:autoSpaceDE w:val="0"/>
        <w:autoSpaceDN w:val="0"/>
        <w:adjustRightInd w:val="0"/>
        <w:rPr>
          <w:color w:val="000000"/>
          <w:sz w:val="24"/>
          <w:szCs w:val="24"/>
        </w:rPr>
      </w:pPr>
    </w:p>
    <w:p w:rsidR="00E956CA" w:rsidRDefault="00E956CA" w:rsidP="00E956CA">
      <w:pPr>
        <w:autoSpaceDE w:val="0"/>
        <w:autoSpaceDN w:val="0"/>
        <w:adjustRightInd w:val="0"/>
        <w:rPr>
          <w:b/>
          <w:bCs/>
          <w:color w:val="000000"/>
        </w:rPr>
      </w:pPr>
    </w:p>
    <w:p w:rsidR="00E956CA" w:rsidRDefault="00E956CA" w:rsidP="00E956CA">
      <w:pPr>
        <w:autoSpaceDE w:val="0"/>
        <w:autoSpaceDN w:val="0"/>
        <w:adjustRightInd w:val="0"/>
        <w:jc w:val="center"/>
        <w:rPr>
          <w:b/>
          <w:bCs/>
          <w:color w:val="000000"/>
        </w:rPr>
      </w:pPr>
      <w:r>
        <w:rPr>
          <w:b/>
          <w:bCs/>
          <w:noProof/>
          <w:color w:val="000000"/>
        </w:rPr>
        <w:drawing>
          <wp:inline distT="0" distB="0" distL="0" distR="0" wp14:anchorId="7E1D47F0" wp14:editId="445DC2C4">
            <wp:extent cx="4803116" cy="2941608"/>
            <wp:effectExtent l="19050" t="0" r="16534"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956CA" w:rsidRPr="0095203F" w:rsidRDefault="00E956CA" w:rsidP="00E956CA">
      <w:pPr>
        <w:autoSpaceDE w:val="0"/>
        <w:autoSpaceDN w:val="0"/>
        <w:adjustRightInd w:val="0"/>
        <w:jc w:val="center"/>
        <w:outlineLvl w:val="0"/>
        <w:rPr>
          <w:b/>
          <w:bCs/>
          <w:color w:val="000000"/>
          <w:sz w:val="24"/>
        </w:rPr>
      </w:pPr>
      <w:r w:rsidRPr="0095203F">
        <w:rPr>
          <w:b/>
          <w:bCs/>
          <w:color w:val="000000"/>
          <w:sz w:val="24"/>
        </w:rPr>
        <w:t xml:space="preserve">Gambar 1 Grafik Perkembangan </w:t>
      </w:r>
      <w:r w:rsidRPr="0095203F">
        <w:rPr>
          <w:b/>
          <w:bCs/>
          <w:i/>
          <w:iCs/>
          <w:color w:val="000000"/>
          <w:sz w:val="24"/>
        </w:rPr>
        <w:t xml:space="preserve">Return On Assets </w:t>
      </w:r>
      <w:r w:rsidRPr="0095203F">
        <w:rPr>
          <w:b/>
          <w:bCs/>
          <w:color w:val="000000"/>
          <w:sz w:val="24"/>
        </w:rPr>
        <w:t>(ROA)</w:t>
      </w:r>
    </w:p>
    <w:p w:rsidR="00E956CA" w:rsidRDefault="00E956CA" w:rsidP="00E956CA">
      <w:pPr>
        <w:autoSpaceDE w:val="0"/>
        <w:autoSpaceDN w:val="0"/>
        <w:adjustRightInd w:val="0"/>
        <w:rPr>
          <w:color w:val="000000"/>
        </w:rPr>
      </w:pPr>
    </w:p>
    <w:p w:rsidR="00E956CA" w:rsidRPr="00E01070" w:rsidRDefault="00E956CA" w:rsidP="00E956CA">
      <w:pPr>
        <w:autoSpaceDE w:val="0"/>
        <w:autoSpaceDN w:val="0"/>
        <w:adjustRightInd w:val="0"/>
        <w:outlineLvl w:val="0"/>
        <w:rPr>
          <w:color w:val="FFFFFF"/>
        </w:rPr>
      </w:pPr>
      <w:r w:rsidRPr="00E01070">
        <w:rPr>
          <w:color w:val="FFFFFF"/>
        </w:rPr>
        <w:t>…</w:t>
      </w:r>
    </w:p>
    <w:p w:rsidR="00E956CA" w:rsidRPr="00E956CA" w:rsidRDefault="00E956CA" w:rsidP="00E956CA">
      <w:pPr>
        <w:autoSpaceDE w:val="0"/>
        <w:autoSpaceDN w:val="0"/>
        <w:adjustRightInd w:val="0"/>
        <w:jc w:val="center"/>
        <w:outlineLvl w:val="0"/>
        <w:rPr>
          <w:b/>
          <w:bCs/>
          <w:color w:val="000000"/>
          <w:sz w:val="24"/>
          <w:szCs w:val="24"/>
        </w:rPr>
      </w:pPr>
      <w:r w:rsidRPr="00E956CA">
        <w:rPr>
          <w:b/>
          <w:bCs/>
          <w:color w:val="000000"/>
          <w:sz w:val="24"/>
          <w:szCs w:val="24"/>
        </w:rPr>
        <w:t xml:space="preserve">Tabel 2. Perkembangan </w:t>
      </w:r>
      <w:r w:rsidRPr="00E956CA">
        <w:rPr>
          <w:b/>
          <w:bCs/>
          <w:i/>
          <w:iCs/>
          <w:color w:val="000000"/>
          <w:sz w:val="24"/>
          <w:szCs w:val="24"/>
        </w:rPr>
        <w:t xml:space="preserve">Return On Assets </w:t>
      </w:r>
      <w:r w:rsidRPr="00E956CA">
        <w:rPr>
          <w:b/>
          <w:bCs/>
          <w:color w:val="000000"/>
          <w:sz w:val="24"/>
          <w:szCs w:val="24"/>
        </w:rPr>
        <w:t>(ROA)</w:t>
      </w:r>
    </w:p>
    <w:p w:rsidR="00E956CA" w:rsidRPr="00E956CA" w:rsidRDefault="00E956CA" w:rsidP="00E956CA">
      <w:pPr>
        <w:autoSpaceDE w:val="0"/>
        <w:autoSpaceDN w:val="0"/>
        <w:adjustRightInd w:val="0"/>
        <w:jc w:val="center"/>
        <w:outlineLvl w:val="0"/>
        <w:rPr>
          <w:b/>
          <w:bCs/>
          <w:color w:val="000000"/>
          <w:sz w:val="24"/>
          <w:szCs w:val="24"/>
        </w:rPr>
      </w:pPr>
      <w:r w:rsidRPr="00E956CA">
        <w:rPr>
          <w:b/>
          <w:bCs/>
          <w:color w:val="000000"/>
          <w:sz w:val="24"/>
          <w:szCs w:val="24"/>
        </w:rPr>
        <w:t>PT. Surya Eka Lestari Ogan Komering Ulu</w:t>
      </w:r>
    </w:p>
    <w:p w:rsidR="00E956CA" w:rsidRPr="00E956CA" w:rsidRDefault="00E956CA" w:rsidP="00E956CA">
      <w:pPr>
        <w:autoSpaceDE w:val="0"/>
        <w:autoSpaceDN w:val="0"/>
        <w:adjustRightInd w:val="0"/>
        <w:jc w:val="center"/>
        <w:outlineLvl w:val="0"/>
        <w:rPr>
          <w:b/>
          <w:bCs/>
          <w:color w:val="000000"/>
          <w:sz w:val="24"/>
          <w:szCs w:val="24"/>
        </w:rPr>
      </w:pPr>
      <w:r w:rsidRPr="00E956CA">
        <w:rPr>
          <w:b/>
          <w:bCs/>
          <w:color w:val="000000"/>
          <w:sz w:val="24"/>
          <w:szCs w:val="24"/>
        </w:rPr>
        <w:t>Tahun 2013-2017</w:t>
      </w:r>
    </w:p>
    <w:p w:rsidR="00E956CA" w:rsidRDefault="00E956CA" w:rsidP="00E956CA">
      <w:pPr>
        <w:autoSpaceDE w:val="0"/>
        <w:autoSpaceDN w:val="0"/>
        <w:adjustRightInd w:val="0"/>
        <w:rPr>
          <w:b/>
          <w:bCs/>
          <w:color w:val="000000"/>
        </w:rPr>
      </w:pPr>
    </w:p>
    <w:tbl>
      <w:tblPr>
        <w:tblStyle w:val="TableGrid"/>
        <w:tblW w:w="9340" w:type="dxa"/>
        <w:tblInd w:w="108" w:type="dxa"/>
        <w:tblLook w:val="04A0" w:firstRow="1" w:lastRow="0" w:firstColumn="1" w:lastColumn="0" w:noHBand="0" w:noVBand="1"/>
      </w:tblPr>
      <w:tblGrid>
        <w:gridCol w:w="709"/>
        <w:gridCol w:w="3161"/>
        <w:gridCol w:w="2860"/>
        <w:gridCol w:w="2610"/>
      </w:tblGrid>
      <w:tr w:rsidR="00E956CA" w:rsidRPr="0095203F" w:rsidTr="0095203F">
        <w:tc>
          <w:tcPr>
            <w:tcW w:w="709" w:type="dxa"/>
            <w:vMerge w:val="restart"/>
            <w:tcBorders>
              <w:top w:val="single" w:sz="4" w:space="0" w:color="auto"/>
              <w:left w:val="nil"/>
              <w:bottom w:val="nil"/>
              <w:right w:val="nil"/>
            </w:tcBorders>
            <w:vAlign w:val="center"/>
          </w:tcPr>
          <w:p w:rsidR="00E956CA" w:rsidRPr="0095203F" w:rsidRDefault="00E956CA" w:rsidP="007C0CDC">
            <w:pPr>
              <w:autoSpaceDE w:val="0"/>
              <w:autoSpaceDN w:val="0"/>
              <w:adjustRightInd w:val="0"/>
              <w:jc w:val="center"/>
              <w:rPr>
                <w:b/>
                <w:bCs/>
                <w:sz w:val="24"/>
              </w:rPr>
            </w:pPr>
            <w:r w:rsidRPr="0095203F">
              <w:rPr>
                <w:b/>
                <w:bCs/>
                <w:sz w:val="24"/>
              </w:rPr>
              <w:t>No.</w:t>
            </w:r>
          </w:p>
        </w:tc>
        <w:tc>
          <w:tcPr>
            <w:tcW w:w="3161" w:type="dxa"/>
            <w:vMerge w:val="restart"/>
            <w:tcBorders>
              <w:top w:val="single" w:sz="4" w:space="0" w:color="auto"/>
              <w:left w:val="nil"/>
              <w:bottom w:val="nil"/>
              <w:right w:val="nil"/>
            </w:tcBorders>
            <w:vAlign w:val="center"/>
          </w:tcPr>
          <w:p w:rsidR="00E956CA" w:rsidRPr="0095203F" w:rsidRDefault="00E956CA" w:rsidP="007C0CDC">
            <w:pPr>
              <w:autoSpaceDE w:val="0"/>
              <w:autoSpaceDN w:val="0"/>
              <w:adjustRightInd w:val="0"/>
              <w:jc w:val="center"/>
              <w:rPr>
                <w:b/>
                <w:bCs/>
                <w:sz w:val="24"/>
              </w:rPr>
            </w:pPr>
            <w:r w:rsidRPr="0095203F">
              <w:rPr>
                <w:b/>
                <w:bCs/>
                <w:sz w:val="24"/>
              </w:rPr>
              <w:t>Tahun</w:t>
            </w:r>
          </w:p>
        </w:tc>
        <w:tc>
          <w:tcPr>
            <w:tcW w:w="5470" w:type="dxa"/>
            <w:gridSpan w:val="2"/>
            <w:tcBorders>
              <w:top w:val="single" w:sz="4" w:space="0" w:color="auto"/>
              <w:left w:val="nil"/>
              <w:bottom w:val="single" w:sz="4" w:space="0" w:color="auto"/>
              <w:right w:val="nil"/>
            </w:tcBorders>
          </w:tcPr>
          <w:p w:rsidR="00E956CA" w:rsidRPr="0095203F" w:rsidRDefault="00E956CA" w:rsidP="001048E0">
            <w:pPr>
              <w:autoSpaceDE w:val="0"/>
              <w:autoSpaceDN w:val="0"/>
              <w:adjustRightInd w:val="0"/>
              <w:jc w:val="center"/>
              <w:rPr>
                <w:b/>
                <w:bCs/>
                <w:color w:val="000000"/>
                <w:sz w:val="24"/>
              </w:rPr>
            </w:pPr>
            <w:r w:rsidRPr="0095203F">
              <w:rPr>
                <w:b/>
                <w:bCs/>
                <w:color w:val="000000"/>
                <w:sz w:val="24"/>
              </w:rPr>
              <w:t>ROA</w:t>
            </w:r>
          </w:p>
        </w:tc>
      </w:tr>
      <w:tr w:rsidR="00E956CA" w:rsidRPr="0095203F" w:rsidTr="0095203F">
        <w:tc>
          <w:tcPr>
            <w:tcW w:w="709" w:type="dxa"/>
            <w:vMerge/>
            <w:tcBorders>
              <w:top w:val="nil"/>
              <w:left w:val="nil"/>
              <w:bottom w:val="single" w:sz="4" w:space="0" w:color="auto"/>
              <w:right w:val="nil"/>
            </w:tcBorders>
          </w:tcPr>
          <w:p w:rsidR="00E956CA" w:rsidRPr="0095203F" w:rsidRDefault="00E956CA" w:rsidP="001048E0">
            <w:pPr>
              <w:autoSpaceDE w:val="0"/>
              <w:autoSpaceDN w:val="0"/>
              <w:adjustRightInd w:val="0"/>
              <w:jc w:val="center"/>
              <w:rPr>
                <w:b/>
                <w:bCs/>
                <w:color w:val="000000"/>
                <w:sz w:val="24"/>
              </w:rPr>
            </w:pPr>
          </w:p>
        </w:tc>
        <w:tc>
          <w:tcPr>
            <w:tcW w:w="3161" w:type="dxa"/>
            <w:vMerge/>
            <w:tcBorders>
              <w:top w:val="nil"/>
              <w:left w:val="nil"/>
              <w:bottom w:val="single" w:sz="4" w:space="0" w:color="auto"/>
              <w:right w:val="nil"/>
            </w:tcBorders>
          </w:tcPr>
          <w:p w:rsidR="00E956CA" w:rsidRPr="0095203F" w:rsidRDefault="00E956CA" w:rsidP="001048E0">
            <w:pPr>
              <w:autoSpaceDE w:val="0"/>
              <w:autoSpaceDN w:val="0"/>
              <w:adjustRightInd w:val="0"/>
              <w:jc w:val="center"/>
              <w:rPr>
                <w:b/>
                <w:bCs/>
                <w:color w:val="000000"/>
                <w:sz w:val="24"/>
              </w:rPr>
            </w:pPr>
          </w:p>
        </w:tc>
        <w:tc>
          <w:tcPr>
            <w:tcW w:w="2860" w:type="dxa"/>
            <w:tcBorders>
              <w:top w:val="single" w:sz="4" w:space="0" w:color="auto"/>
              <w:left w:val="nil"/>
              <w:bottom w:val="single" w:sz="4" w:space="0" w:color="auto"/>
              <w:right w:val="nil"/>
            </w:tcBorders>
          </w:tcPr>
          <w:p w:rsidR="00E956CA" w:rsidRPr="0095203F" w:rsidRDefault="00E956CA" w:rsidP="001048E0">
            <w:pPr>
              <w:autoSpaceDE w:val="0"/>
              <w:autoSpaceDN w:val="0"/>
              <w:adjustRightInd w:val="0"/>
              <w:jc w:val="center"/>
              <w:rPr>
                <w:b/>
                <w:bCs/>
                <w:color w:val="000000"/>
                <w:sz w:val="24"/>
              </w:rPr>
            </w:pPr>
            <w:r w:rsidRPr="0095203F">
              <w:rPr>
                <w:b/>
                <w:bCs/>
                <w:sz w:val="24"/>
              </w:rPr>
              <w:t>Real (%)</w:t>
            </w:r>
          </w:p>
        </w:tc>
        <w:tc>
          <w:tcPr>
            <w:tcW w:w="2610" w:type="dxa"/>
            <w:tcBorders>
              <w:top w:val="single" w:sz="4" w:space="0" w:color="auto"/>
              <w:left w:val="nil"/>
              <w:bottom w:val="single" w:sz="4" w:space="0" w:color="auto"/>
              <w:right w:val="nil"/>
            </w:tcBorders>
          </w:tcPr>
          <w:p w:rsidR="00E956CA" w:rsidRPr="0095203F" w:rsidRDefault="00E956CA" w:rsidP="001048E0">
            <w:pPr>
              <w:autoSpaceDE w:val="0"/>
              <w:autoSpaceDN w:val="0"/>
              <w:adjustRightInd w:val="0"/>
              <w:jc w:val="center"/>
              <w:rPr>
                <w:b/>
                <w:bCs/>
                <w:sz w:val="24"/>
              </w:rPr>
            </w:pPr>
            <w:r w:rsidRPr="0095203F">
              <w:rPr>
                <w:b/>
                <w:bCs/>
                <w:sz w:val="24"/>
              </w:rPr>
              <w:t>Naik/Turun</w:t>
            </w:r>
          </w:p>
        </w:tc>
      </w:tr>
      <w:tr w:rsidR="00E956CA" w:rsidRPr="0095203F" w:rsidTr="0095203F">
        <w:tc>
          <w:tcPr>
            <w:tcW w:w="709" w:type="dxa"/>
            <w:tcBorders>
              <w:top w:val="single" w:sz="4" w:space="0" w:color="auto"/>
              <w:left w:val="nil"/>
              <w:bottom w:val="nil"/>
              <w:right w:val="nil"/>
            </w:tcBorders>
          </w:tcPr>
          <w:p w:rsidR="00E956CA" w:rsidRPr="0095203F" w:rsidRDefault="00E956CA" w:rsidP="001048E0">
            <w:pPr>
              <w:autoSpaceDE w:val="0"/>
              <w:autoSpaceDN w:val="0"/>
              <w:adjustRightInd w:val="0"/>
              <w:jc w:val="center"/>
              <w:rPr>
                <w:bCs/>
                <w:color w:val="000000"/>
                <w:sz w:val="24"/>
              </w:rPr>
            </w:pPr>
            <w:r w:rsidRPr="0095203F">
              <w:rPr>
                <w:bCs/>
                <w:color w:val="000000"/>
                <w:sz w:val="24"/>
              </w:rPr>
              <w:t>1.</w:t>
            </w:r>
          </w:p>
        </w:tc>
        <w:tc>
          <w:tcPr>
            <w:tcW w:w="3161" w:type="dxa"/>
            <w:tcBorders>
              <w:top w:val="single" w:sz="4" w:space="0" w:color="auto"/>
              <w:left w:val="nil"/>
              <w:bottom w:val="nil"/>
              <w:right w:val="nil"/>
            </w:tcBorders>
          </w:tcPr>
          <w:p w:rsidR="00E956CA" w:rsidRPr="0095203F" w:rsidRDefault="00E956CA" w:rsidP="001048E0">
            <w:pPr>
              <w:autoSpaceDE w:val="0"/>
              <w:autoSpaceDN w:val="0"/>
              <w:adjustRightInd w:val="0"/>
              <w:jc w:val="center"/>
              <w:rPr>
                <w:bCs/>
                <w:color w:val="000000"/>
                <w:sz w:val="24"/>
              </w:rPr>
            </w:pPr>
            <w:r w:rsidRPr="0095203F">
              <w:rPr>
                <w:bCs/>
                <w:color w:val="000000"/>
                <w:sz w:val="24"/>
              </w:rPr>
              <w:t>2013</w:t>
            </w:r>
          </w:p>
        </w:tc>
        <w:tc>
          <w:tcPr>
            <w:tcW w:w="2860" w:type="dxa"/>
            <w:tcBorders>
              <w:top w:val="single" w:sz="4" w:space="0" w:color="auto"/>
              <w:left w:val="nil"/>
              <w:bottom w:val="nil"/>
              <w:right w:val="nil"/>
            </w:tcBorders>
          </w:tcPr>
          <w:p w:rsidR="00E956CA" w:rsidRPr="0095203F" w:rsidRDefault="00E956CA" w:rsidP="001048E0">
            <w:pPr>
              <w:autoSpaceDE w:val="0"/>
              <w:autoSpaceDN w:val="0"/>
              <w:adjustRightInd w:val="0"/>
              <w:jc w:val="center"/>
              <w:rPr>
                <w:b/>
                <w:bCs/>
                <w:color w:val="000000"/>
                <w:sz w:val="24"/>
              </w:rPr>
            </w:pPr>
            <w:r w:rsidRPr="0095203F">
              <w:rPr>
                <w:sz w:val="24"/>
              </w:rPr>
              <w:t>28,67%</w:t>
            </w:r>
          </w:p>
        </w:tc>
        <w:tc>
          <w:tcPr>
            <w:tcW w:w="2610" w:type="dxa"/>
            <w:tcBorders>
              <w:top w:val="single" w:sz="4" w:space="0" w:color="auto"/>
              <w:left w:val="nil"/>
              <w:bottom w:val="nil"/>
              <w:right w:val="nil"/>
            </w:tcBorders>
          </w:tcPr>
          <w:p w:rsidR="00E956CA" w:rsidRPr="0095203F" w:rsidRDefault="00E956CA" w:rsidP="001048E0">
            <w:pPr>
              <w:autoSpaceDE w:val="0"/>
              <w:autoSpaceDN w:val="0"/>
              <w:adjustRightInd w:val="0"/>
              <w:jc w:val="center"/>
              <w:rPr>
                <w:b/>
                <w:bCs/>
                <w:color w:val="000000"/>
                <w:sz w:val="24"/>
              </w:rPr>
            </w:pPr>
            <w:r w:rsidRPr="0095203F">
              <w:rPr>
                <w:b/>
                <w:bCs/>
                <w:color w:val="000000"/>
                <w:sz w:val="24"/>
              </w:rPr>
              <w:t>-</w:t>
            </w:r>
          </w:p>
        </w:tc>
      </w:tr>
      <w:tr w:rsidR="00E956CA" w:rsidRPr="0095203F" w:rsidTr="0095203F">
        <w:tc>
          <w:tcPr>
            <w:tcW w:w="709" w:type="dxa"/>
            <w:tcBorders>
              <w:top w:val="nil"/>
              <w:left w:val="nil"/>
              <w:bottom w:val="nil"/>
              <w:right w:val="nil"/>
            </w:tcBorders>
          </w:tcPr>
          <w:p w:rsidR="00E956CA" w:rsidRPr="0095203F" w:rsidRDefault="00E956CA" w:rsidP="001048E0">
            <w:pPr>
              <w:autoSpaceDE w:val="0"/>
              <w:autoSpaceDN w:val="0"/>
              <w:adjustRightInd w:val="0"/>
              <w:jc w:val="center"/>
              <w:rPr>
                <w:bCs/>
                <w:color w:val="000000"/>
                <w:sz w:val="24"/>
              </w:rPr>
            </w:pPr>
            <w:r w:rsidRPr="0095203F">
              <w:rPr>
                <w:bCs/>
                <w:color w:val="000000"/>
                <w:sz w:val="24"/>
              </w:rPr>
              <w:t>2.</w:t>
            </w:r>
          </w:p>
        </w:tc>
        <w:tc>
          <w:tcPr>
            <w:tcW w:w="3161" w:type="dxa"/>
            <w:tcBorders>
              <w:top w:val="nil"/>
              <w:left w:val="nil"/>
              <w:bottom w:val="nil"/>
              <w:right w:val="nil"/>
            </w:tcBorders>
          </w:tcPr>
          <w:p w:rsidR="00E956CA" w:rsidRPr="0095203F" w:rsidRDefault="00E956CA" w:rsidP="001048E0">
            <w:pPr>
              <w:autoSpaceDE w:val="0"/>
              <w:autoSpaceDN w:val="0"/>
              <w:adjustRightInd w:val="0"/>
              <w:jc w:val="center"/>
              <w:rPr>
                <w:b/>
                <w:bCs/>
                <w:color w:val="000000"/>
                <w:sz w:val="24"/>
              </w:rPr>
            </w:pPr>
            <w:r w:rsidRPr="0095203F">
              <w:rPr>
                <w:bCs/>
                <w:color w:val="000000"/>
                <w:sz w:val="24"/>
              </w:rPr>
              <w:t>2014</w:t>
            </w:r>
          </w:p>
        </w:tc>
        <w:tc>
          <w:tcPr>
            <w:tcW w:w="2860" w:type="dxa"/>
            <w:tcBorders>
              <w:top w:val="nil"/>
              <w:left w:val="nil"/>
              <w:bottom w:val="nil"/>
              <w:right w:val="nil"/>
            </w:tcBorders>
          </w:tcPr>
          <w:p w:rsidR="00E956CA" w:rsidRPr="0095203F" w:rsidRDefault="00E956CA" w:rsidP="001048E0">
            <w:pPr>
              <w:autoSpaceDE w:val="0"/>
              <w:autoSpaceDN w:val="0"/>
              <w:adjustRightInd w:val="0"/>
              <w:jc w:val="center"/>
              <w:rPr>
                <w:b/>
                <w:bCs/>
                <w:color w:val="000000"/>
                <w:sz w:val="24"/>
              </w:rPr>
            </w:pPr>
            <w:r w:rsidRPr="0095203F">
              <w:rPr>
                <w:sz w:val="24"/>
              </w:rPr>
              <w:t>40,96%</w:t>
            </w:r>
          </w:p>
        </w:tc>
        <w:tc>
          <w:tcPr>
            <w:tcW w:w="2610" w:type="dxa"/>
            <w:tcBorders>
              <w:top w:val="nil"/>
              <w:left w:val="nil"/>
              <w:bottom w:val="nil"/>
              <w:right w:val="nil"/>
            </w:tcBorders>
          </w:tcPr>
          <w:p w:rsidR="00E956CA" w:rsidRPr="0095203F" w:rsidRDefault="00E956CA" w:rsidP="001048E0">
            <w:pPr>
              <w:autoSpaceDE w:val="0"/>
              <w:autoSpaceDN w:val="0"/>
              <w:adjustRightInd w:val="0"/>
              <w:jc w:val="center"/>
              <w:rPr>
                <w:sz w:val="24"/>
              </w:rPr>
            </w:pPr>
            <w:r w:rsidRPr="0095203F">
              <w:rPr>
                <w:sz w:val="24"/>
              </w:rPr>
              <w:t>12,29% (↑)</w:t>
            </w:r>
          </w:p>
        </w:tc>
      </w:tr>
      <w:tr w:rsidR="00E956CA" w:rsidRPr="0095203F" w:rsidTr="0095203F">
        <w:tc>
          <w:tcPr>
            <w:tcW w:w="709" w:type="dxa"/>
            <w:tcBorders>
              <w:top w:val="nil"/>
              <w:left w:val="nil"/>
              <w:bottom w:val="nil"/>
              <w:right w:val="nil"/>
            </w:tcBorders>
          </w:tcPr>
          <w:p w:rsidR="00E956CA" w:rsidRPr="0095203F" w:rsidRDefault="00E956CA" w:rsidP="001048E0">
            <w:pPr>
              <w:autoSpaceDE w:val="0"/>
              <w:autoSpaceDN w:val="0"/>
              <w:adjustRightInd w:val="0"/>
              <w:jc w:val="center"/>
              <w:rPr>
                <w:bCs/>
                <w:color w:val="000000"/>
                <w:sz w:val="24"/>
              </w:rPr>
            </w:pPr>
            <w:r w:rsidRPr="0095203F">
              <w:rPr>
                <w:bCs/>
                <w:color w:val="000000"/>
                <w:sz w:val="24"/>
              </w:rPr>
              <w:t>3.</w:t>
            </w:r>
          </w:p>
        </w:tc>
        <w:tc>
          <w:tcPr>
            <w:tcW w:w="3161" w:type="dxa"/>
            <w:tcBorders>
              <w:top w:val="nil"/>
              <w:left w:val="nil"/>
              <w:bottom w:val="nil"/>
              <w:right w:val="nil"/>
            </w:tcBorders>
          </w:tcPr>
          <w:p w:rsidR="00E956CA" w:rsidRPr="0095203F" w:rsidRDefault="00E956CA" w:rsidP="001048E0">
            <w:pPr>
              <w:autoSpaceDE w:val="0"/>
              <w:autoSpaceDN w:val="0"/>
              <w:adjustRightInd w:val="0"/>
              <w:jc w:val="center"/>
              <w:rPr>
                <w:b/>
                <w:bCs/>
                <w:color w:val="000000"/>
                <w:sz w:val="24"/>
              </w:rPr>
            </w:pPr>
            <w:r w:rsidRPr="0095203F">
              <w:rPr>
                <w:bCs/>
                <w:color w:val="000000"/>
                <w:sz w:val="24"/>
              </w:rPr>
              <w:t>2015</w:t>
            </w:r>
          </w:p>
        </w:tc>
        <w:tc>
          <w:tcPr>
            <w:tcW w:w="2860" w:type="dxa"/>
            <w:tcBorders>
              <w:top w:val="nil"/>
              <w:left w:val="nil"/>
              <w:bottom w:val="nil"/>
              <w:right w:val="nil"/>
            </w:tcBorders>
          </w:tcPr>
          <w:p w:rsidR="00E956CA" w:rsidRPr="0095203F" w:rsidRDefault="00E956CA" w:rsidP="001048E0">
            <w:pPr>
              <w:autoSpaceDE w:val="0"/>
              <w:autoSpaceDN w:val="0"/>
              <w:adjustRightInd w:val="0"/>
              <w:jc w:val="center"/>
              <w:rPr>
                <w:bCs/>
                <w:color w:val="000000"/>
                <w:sz w:val="24"/>
              </w:rPr>
            </w:pPr>
            <w:r w:rsidRPr="0095203F">
              <w:rPr>
                <w:sz w:val="24"/>
              </w:rPr>
              <w:t>22,49%</w:t>
            </w:r>
          </w:p>
        </w:tc>
        <w:tc>
          <w:tcPr>
            <w:tcW w:w="2610" w:type="dxa"/>
            <w:tcBorders>
              <w:top w:val="nil"/>
              <w:left w:val="nil"/>
              <w:bottom w:val="nil"/>
              <w:right w:val="nil"/>
            </w:tcBorders>
          </w:tcPr>
          <w:p w:rsidR="00E956CA" w:rsidRPr="0095203F" w:rsidRDefault="00E956CA" w:rsidP="001048E0">
            <w:pPr>
              <w:autoSpaceDE w:val="0"/>
              <w:autoSpaceDN w:val="0"/>
              <w:adjustRightInd w:val="0"/>
              <w:jc w:val="center"/>
              <w:rPr>
                <w:sz w:val="24"/>
              </w:rPr>
            </w:pPr>
            <w:r w:rsidRPr="0095203F">
              <w:rPr>
                <w:sz w:val="24"/>
              </w:rPr>
              <w:t>18,47% (↓)</w:t>
            </w:r>
          </w:p>
        </w:tc>
      </w:tr>
      <w:tr w:rsidR="00E956CA" w:rsidRPr="0095203F" w:rsidTr="0095203F">
        <w:tc>
          <w:tcPr>
            <w:tcW w:w="709" w:type="dxa"/>
            <w:tcBorders>
              <w:top w:val="nil"/>
              <w:left w:val="nil"/>
              <w:bottom w:val="nil"/>
              <w:right w:val="nil"/>
            </w:tcBorders>
          </w:tcPr>
          <w:p w:rsidR="00E956CA" w:rsidRPr="0095203F" w:rsidRDefault="00E956CA" w:rsidP="001048E0">
            <w:pPr>
              <w:autoSpaceDE w:val="0"/>
              <w:autoSpaceDN w:val="0"/>
              <w:adjustRightInd w:val="0"/>
              <w:jc w:val="center"/>
              <w:rPr>
                <w:bCs/>
                <w:color w:val="000000"/>
                <w:sz w:val="24"/>
              </w:rPr>
            </w:pPr>
            <w:r w:rsidRPr="0095203F">
              <w:rPr>
                <w:bCs/>
                <w:color w:val="000000"/>
                <w:sz w:val="24"/>
              </w:rPr>
              <w:t>4.</w:t>
            </w:r>
          </w:p>
        </w:tc>
        <w:tc>
          <w:tcPr>
            <w:tcW w:w="3161" w:type="dxa"/>
            <w:tcBorders>
              <w:top w:val="nil"/>
              <w:left w:val="nil"/>
              <w:bottom w:val="nil"/>
              <w:right w:val="nil"/>
            </w:tcBorders>
          </w:tcPr>
          <w:p w:rsidR="00E956CA" w:rsidRPr="0095203F" w:rsidRDefault="00E956CA" w:rsidP="001048E0">
            <w:pPr>
              <w:autoSpaceDE w:val="0"/>
              <w:autoSpaceDN w:val="0"/>
              <w:adjustRightInd w:val="0"/>
              <w:jc w:val="center"/>
              <w:rPr>
                <w:b/>
                <w:bCs/>
                <w:color w:val="000000"/>
                <w:sz w:val="24"/>
              </w:rPr>
            </w:pPr>
            <w:r w:rsidRPr="0095203F">
              <w:rPr>
                <w:bCs/>
                <w:color w:val="000000"/>
                <w:sz w:val="24"/>
              </w:rPr>
              <w:t>2016</w:t>
            </w:r>
          </w:p>
        </w:tc>
        <w:tc>
          <w:tcPr>
            <w:tcW w:w="2860" w:type="dxa"/>
            <w:tcBorders>
              <w:top w:val="nil"/>
              <w:left w:val="nil"/>
              <w:bottom w:val="nil"/>
              <w:right w:val="nil"/>
            </w:tcBorders>
          </w:tcPr>
          <w:p w:rsidR="00E956CA" w:rsidRPr="0095203F" w:rsidRDefault="00E956CA" w:rsidP="001048E0">
            <w:pPr>
              <w:autoSpaceDE w:val="0"/>
              <w:autoSpaceDN w:val="0"/>
              <w:adjustRightInd w:val="0"/>
              <w:jc w:val="center"/>
              <w:rPr>
                <w:b/>
                <w:bCs/>
                <w:color w:val="000000"/>
                <w:sz w:val="24"/>
              </w:rPr>
            </w:pPr>
            <w:r w:rsidRPr="0095203F">
              <w:rPr>
                <w:sz w:val="24"/>
              </w:rPr>
              <w:t>13,97%</w:t>
            </w:r>
          </w:p>
        </w:tc>
        <w:tc>
          <w:tcPr>
            <w:tcW w:w="2610" w:type="dxa"/>
            <w:tcBorders>
              <w:top w:val="nil"/>
              <w:left w:val="nil"/>
              <w:bottom w:val="nil"/>
              <w:right w:val="nil"/>
            </w:tcBorders>
          </w:tcPr>
          <w:p w:rsidR="00E956CA" w:rsidRPr="0095203F" w:rsidRDefault="00E956CA" w:rsidP="001048E0">
            <w:pPr>
              <w:autoSpaceDE w:val="0"/>
              <w:autoSpaceDN w:val="0"/>
              <w:adjustRightInd w:val="0"/>
              <w:jc w:val="center"/>
              <w:rPr>
                <w:sz w:val="24"/>
              </w:rPr>
            </w:pPr>
            <w:r w:rsidRPr="0095203F">
              <w:rPr>
                <w:sz w:val="24"/>
              </w:rPr>
              <w:t>8,52%  (↓)</w:t>
            </w:r>
          </w:p>
        </w:tc>
      </w:tr>
      <w:tr w:rsidR="00E956CA" w:rsidRPr="0095203F" w:rsidTr="0095203F">
        <w:tc>
          <w:tcPr>
            <w:tcW w:w="709" w:type="dxa"/>
            <w:tcBorders>
              <w:top w:val="nil"/>
              <w:left w:val="nil"/>
              <w:bottom w:val="single" w:sz="4" w:space="0" w:color="auto"/>
              <w:right w:val="nil"/>
            </w:tcBorders>
          </w:tcPr>
          <w:p w:rsidR="00E956CA" w:rsidRPr="0095203F" w:rsidRDefault="00E956CA" w:rsidP="001048E0">
            <w:pPr>
              <w:autoSpaceDE w:val="0"/>
              <w:autoSpaceDN w:val="0"/>
              <w:adjustRightInd w:val="0"/>
              <w:jc w:val="center"/>
              <w:rPr>
                <w:bCs/>
                <w:color w:val="000000"/>
                <w:sz w:val="24"/>
              </w:rPr>
            </w:pPr>
            <w:r w:rsidRPr="0095203F">
              <w:rPr>
                <w:bCs/>
                <w:color w:val="000000"/>
                <w:sz w:val="24"/>
              </w:rPr>
              <w:t>5.</w:t>
            </w:r>
          </w:p>
        </w:tc>
        <w:tc>
          <w:tcPr>
            <w:tcW w:w="3161" w:type="dxa"/>
            <w:tcBorders>
              <w:top w:val="nil"/>
              <w:left w:val="nil"/>
              <w:bottom w:val="single" w:sz="4" w:space="0" w:color="auto"/>
              <w:right w:val="nil"/>
            </w:tcBorders>
          </w:tcPr>
          <w:p w:rsidR="00E956CA" w:rsidRPr="0095203F" w:rsidRDefault="00E956CA" w:rsidP="001048E0">
            <w:pPr>
              <w:autoSpaceDE w:val="0"/>
              <w:autoSpaceDN w:val="0"/>
              <w:adjustRightInd w:val="0"/>
              <w:jc w:val="center"/>
              <w:rPr>
                <w:b/>
                <w:bCs/>
                <w:color w:val="000000"/>
                <w:sz w:val="24"/>
              </w:rPr>
            </w:pPr>
            <w:r w:rsidRPr="0095203F">
              <w:rPr>
                <w:bCs/>
                <w:color w:val="000000"/>
                <w:sz w:val="24"/>
              </w:rPr>
              <w:t>2017</w:t>
            </w:r>
          </w:p>
        </w:tc>
        <w:tc>
          <w:tcPr>
            <w:tcW w:w="2860" w:type="dxa"/>
            <w:tcBorders>
              <w:top w:val="nil"/>
              <w:left w:val="nil"/>
              <w:bottom w:val="single" w:sz="4" w:space="0" w:color="auto"/>
              <w:right w:val="nil"/>
            </w:tcBorders>
          </w:tcPr>
          <w:p w:rsidR="00E956CA" w:rsidRPr="0095203F" w:rsidRDefault="00E956CA" w:rsidP="001048E0">
            <w:pPr>
              <w:autoSpaceDE w:val="0"/>
              <w:autoSpaceDN w:val="0"/>
              <w:adjustRightInd w:val="0"/>
              <w:jc w:val="center"/>
              <w:rPr>
                <w:b/>
                <w:bCs/>
                <w:color w:val="000000"/>
                <w:sz w:val="24"/>
              </w:rPr>
            </w:pPr>
            <w:r w:rsidRPr="0095203F">
              <w:rPr>
                <w:sz w:val="24"/>
              </w:rPr>
              <w:t>48,26%</w:t>
            </w:r>
          </w:p>
        </w:tc>
        <w:tc>
          <w:tcPr>
            <w:tcW w:w="2610" w:type="dxa"/>
            <w:tcBorders>
              <w:top w:val="nil"/>
              <w:left w:val="nil"/>
              <w:bottom w:val="single" w:sz="4" w:space="0" w:color="auto"/>
              <w:right w:val="nil"/>
            </w:tcBorders>
          </w:tcPr>
          <w:p w:rsidR="00E956CA" w:rsidRPr="0095203F" w:rsidRDefault="00E956CA" w:rsidP="001048E0">
            <w:pPr>
              <w:autoSpaceDE w:val="0"/>
              <w:autoSpaceDN w:val="0"/>
              <w:adjustRightInd w:val="0"/>
              <w:jc w:val="center"/>
              <w:rPr>
                <w:bCs/>
                <w:color w:val="000000"/>
                <w:sz w:val="24"/>
              </w:rPr>
            </w:pPr>
            <w:r w:rsidRPr="0095203F">
              <w:rPr>
                <w:sz w:val="24"/>
              </w:rPr>
              <w:t>34,29% (↑)</w:t>
            </w:r>
          </w:p>
        </w:tc>
      </w:tr>
      <w:tr w:rsidR="00E956CA" w:rsidRPr="0095203F" w:rsidTr="0095203F">
        <w:tc>
          <w:tcPr>
            <w:tcW w:w="3870" w:type="dxa"/>
            <w:gridSpan w:val="2"/>
            <w:tcBorders>
              <w:top w:val="single" w:sz="4" w:space="0" w:color="auto"/>
              <w:left w:val="nil"/>
              <w:bottom w:val="single" w:sz="4" w:space="0" w:color="auto"/>
              <w:right w:val="nil"/>
            </w:tcBorders>
          </w:tcPr>
          <w:p w:rsidR="00E956CA" w:rsidRPr="0095203F" w:rsidRDefault="00E956CA" w:rsidP="001048E0">
            <w:pPr>
              <w:autoSpaceDE w:val="0"/>
              <w:autoSpaceDN w:val="0"/>
              <w:adjustRightInd w:val="0"/>
              <w:jc w:val="center"/>
              <w:rPr>
                <w:sz w:val="24"/>
              </w:rPr>
            </w:pPr>
            <w:r w:rsidRPr="0095203F">
              <w:rPr>
                <w:b/>
                <w:bCs/>
                <w:sz w:val="24"/>
              </w:rPr>
              <w:t>Rata-rata</w:t>
            </w:r>
          </w:p>
        </w:tc>
        <w:tc>
          <w:tcPr>
            <w:tcW w:w="2860" w:type="dxa"/>
            <w:tcBorders>
              <w:top w:val="single" w:sz="4" w:space="0" w:color="auto"/>
              <w:left w:val="nil"/>
              <w:bottom w:val="single" w:sz="4" w:space="0" w:color="auto"/>
              <w:right w:val="nil"/>
            </w:tcBorders>
          </w:tcPr>
          <w:p w:rsidR="00E956CA" w:rsidRPr="0095203F" w:rsidRDefault="00E956CA" w:rsidP="001048E0">
            <w:pPr>
              <w:autoSpaceDE w:val="0"/>
              <w:autoSpaceDN w:val="0"/>
              <w:adjustRightInd w:val="0"/>
              <w:jc w:val="center"/>
              <w:rPr>
                <w:b/>
                <w:bCs/>
                <w:color w:val="000000"/>
                <w:sz w:val="24"/>
              </w:rPr>
            </w:pPr>
            <w:r w:rsidRPr="0095203F">
              <w:rPr>
                <w:b/>
                <w:bCs/>
                <w:sz w:val="24"/>
              </w:rPr>
              <w:t>30,87%</w:t>
            </w:r>
          </w:p>
        </w:tc>
        <w:tc>
          <w:tcPr>
            <w:tcW w:w="2610" w:type="dxa"/>
            <w:tcBorders>
              <w:top w:val="single" w:sz="4" w:space="0" w:color="auto"/>
              <w:left w:val="nil"/>
              <w:bottom w:val="single" w:sz="4" w:space="0" w:color="auto"/>
              <w:right w:val="nil"/>
            </w:tcBorders>
          </w:tcPr>
          <w:p w:rsidR="00E956CA" w:rsidRPr="0095203F" w:rsidRDefault="00E956CA" w:rsidP="001048E0">
            <w:pPr>
              <w:autoSpaceDE w:val="0"/>
              <w:autoSpaceDN w:val="0"/>
              <w:adjustRightInd w:val="0"/>
              <w:jc w:val="center"/>
              <w:rPr>
                <w:b/>
                <w:bCs/>
                <w:color w:val="000000"/>
                <w:sz w:val="24"/>
              </w:rPr>
            </w:pPr>
            <w:r w:rsidRPr="0095203F">
              <w:rPr>
                <w:b/>
                <w:bCs/>
                <w:color w:val="000000"/>
                <w:sz w:val="24"/>
              </w:rPr>
              <w:t>-</w:t>
            </w:r>
          </w:p>
        </w:tc>
      </w:tr>
    </w:tbl>
    <w:p w:rsidR="00E956CA" w:rsidRPr="0095203F" w:rsidRDefault="00E956CA" w:rsidP="0095203F">
      <w:pPr>
        <w:autoSpaceDE w:val="0"/>
        <w:autoSpaceDN w:val="0"/>
        <w:adjustRightInd w:val="0"/>
        <w:jc w:val="both"/>
        <w:rPr>
          <w:color w:val="000000"/>
          <w:sz w:val="24"/>
        </w:rPr>
      </w:pPr>
      <w:r w:rsidRPr="0095203F">
        <w:rPr>
          <w:rFonts w:asciiTheme="majorBidi" w:hAnsiTheme="majorBidi" w:cstheme="majorBidi"/>
          <w:b/>
          <w:i/>
          <w:sz w:val="24"/>
          <w:lang w:val="id-ID"/>
        </w:rPr>
        <w:t xml:space="preserve">Sumber: </w:t>
      </w:r>
      <w:r w:rsidRPr="0095203F">
        <w:rPr>
          <w:b/>
          <w:i/>
          <w:iCs/>
          <w:sz w:val="24"/>
        </w:rPr>
        <w:t>Laporan Keuangan PT. Surya Eka Lestari Ogan Komering Ulu</w:t>
      </w:r>
    </w:p>
    <w:p w:rsidR="00E956CA" w:rsidRPr="00E956CA" w:rsidRDefault="00E956CA" w:rsidP="00E956CA">
      <w:pPr>
        <w:autoSpaceDE w:val="0"/>
        <w:autoSpaceDN w:val="0"/>
        <w:adjustRightInd w:val="0"/>
        <w:rPr>
          <w:color w:val="000000"/>
          <w:sz w:val="24"/>
          <w:szCs w:val="24"/>
        </w:rPr>
      </w:pPr>
    </w:p>
    <w:p w:rsidR="0006085F" w:rsidRDefault="0006085F" w:rsidP="0006085F">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706953" w:rsidRDefault="00706953" w:rsidP="0006085F">
      <w:pPr>
        <w:autoSpaceDE w:val="0"/>
        <w:autoSpaceDN w:val="0"/>
        <w:adjustRightInd w:val="0"/>
        <w:jc w:val="both"/>
        <w:rPr>
          <w:color w:val="000000"/>
          <w:sz w:val="24"/>
          <w:szCs w:val="24"/>
        </w:rPr>
      </w:pPr>
      <w:r w:rsidRPr="00706953">
        <w:rPr>
          <w:color w:val="000000"/>
          <w:sz w:val="24"/>
          <w:szCs w:val="24"/>
        </w:rPr>
        <w:lastRenderedPageBreak/>
        <w:t xml:space="preserve">Berdasarkan tabel diatas, hasil perhitungan </w:t>
      </w:r>
      <w:r w:rsidRPr="00706953">
        <w:rPr>
          <w:i/>
          <w:iCs/>
          <w:color w:val="000000"/>
          <w:sz w:val="24"/>
          <w:szCs w:val="24"/>
        </w:rPr>
        <w:t xml:space="preserve">Return On Assets </w:t>
      </w:r>
      <w:r w:rsidRPr="00706953">
        <w:rPr>
          <w:color w:val="000000"/>
          <w:sz w:val="24"/>
          <w:szCs w:val="24"/>
        </w:rPr>
        <w:t xml:space="preserve">(ROA) selama lima tahun yaitu dari tahun 2013 sampai 2017 PT. Surya Eka Lestari Ogan Komering Ulu mengalami </w:t>
      </w:r>
      <w:r w:rsidRPr="00706953">
        <w:rPr>
          <w:color w:val="000000"/>
          <w:sz w:val="24"/>
          <w:szCs w:val="24"/>
        </w:rPr>
        <w:lastRenderedPageBreak/>
        <w:t xml:space="preserve">fluktuasi (peningkatan dan penurunan) setiap tahunnya. Dari total aset yang digunakan oleh perusahaan secara rata-rata mampu menghasilkan laba bersih sebesar 30,87%, </w:t>
      </w:r>
      <w:r w:rsidRPr="00706953">
        <w:rPr>
          <w:color w:val="000000"/>
          <w:sz w:val="24"/>
          <w:szCs w:val="24"/>
        </w:rPr>
        <w:lastRenderedPageBreak/>
        <w:t xml:space="preserve">nilai tertinggi dicapai pada tahun 2017 yaitu sebesar 48,26% dan nilai terendah dicapai pada tahun 2016 yaitu sebesar 13,97%. Namun </w:t>
      </w:r>
      <w:r w:rsidRPr="00706953">
        <w:rPr>
          <w:i/>
          <w:iCs/>
          <w:color w:val="000000"/>
          <w:sz w:val="24"/>
          <w:szCs w:val="24"/>
        </w:rPr>
        <w:t xml:space="preserve">Return On Assets </w:t>
      </w:r>
      <w:r w:rsidRPr="00706953">
        <w:rPr>
          <w:color w:val="000000"/>
          <w:sz w:val="24"/>
          <w:szCs w:val="24"/>
        </w:rPr>
        <w:t>(ROA) tahun 2013 sampai 2017 lebih besar dari standar rata-rata industri yang ditetapkan diatas sebesar 1,5% maka rasio yang dicapai PT. Surya Eka Lestari Ogan Komering Ulu dikategorikan dalam kelompok SEHAT. Penurunan nilai ROA ini menunjukkan aktivitas penjualan yang belum optimal dan terlalu besarnya beban operasional serta beban-beban lain pada PT. Surya Eka Lestari Ogan Komering Ulu.</w:t>
      </w:r>
    </w:p>
    <w:p w:rsidR="0095203F" w:rsidRPr="00706953" w:rsidRDefault="0095203F" w:rsidP="0006085F">
      <w:pPr>
        <w:autoSpaceDE w:val="0"/>
        <w:autoSpaceDN w:val="0"/>
        <w:adjustRightInd w:val="0"/>
        <w:jc w:val="both"/>
        <w:rPr>
          <w:color w:val="000000"/>
          <w:sz w:val="24"/>
          <w:szCs w:val="24"/>
        </w:rPr>
      </w:pPr>
    </w:p>
    <w:p w:rsidR="00706953" w:rsidRPr="00706953" w:rsidRDefault="00706953" w:rsidP="00706953">
      <w:pPr>
        <w:autoSpaceDE w:val="0"/>
        <w:autoSpaceDN w:val="0"/>
        <w:adjustRightInd w:val="0"/>
        <w:jc w:val="both"/>
        <w:rPr>
          <w:b/>
          <w:bCs/>
          <w:color w:val="000000"/>
          <w:sz w:val="24"/>
          <w:szCs w:val="24"/>
        </w:rPr>
      </w:pPr>
      <w:r w:rsidRPr="00706953">
        <w:rPr>
          <w:i/>
          <w:iCs/>
          <w:color w:val="000000"/>
          <w:sz w:val="24"/>
          <w:szCs w:val="24"/>
        </w:rPr>
        <w:lastRenderedPageBreak/>
        <w:t xml:space="preserve">Return On Equity </w:t>
      </w:r>
      <w:r w:rsidRPr="00706953">
        <w:rPr>
          <w:color w:val="000000"/>
          <w:sz w:val="24"/>
          <w:szCs w:val="24"/>
        </w:rPr>
        <w:t>(ROE) adalah rasio yang digunakan untuk mengukur</w:t>
      </w:r>
      <w:r w:rsidRPr="00706953">
        <w:rPr>
          <w:b/>
          <w:bCs/>
          <w:color w:val="000000"/>
          <w:sz w:val="24"/>
          <w:szCs w:val="24"/>
        </w:rPr>
        <w:t xml:space="preserve"> </w:t>
      </w:r>
      <w:r w:rsidRPr="00706953">
        <w:rPr>
          <w:color w:val="000000"/>
          <w:sz w:val="24"/>
          <w:szCs w:val="24"/>
        </w:rPr>
        <w:t>kemampuan manajemen perusahaan dalam mengelola modal yang tersedia untuk</w:t>
      </w:r>
      <w:r w:rsidRPr="00706953">
        <w:rPr>
          <w:b/>
          <w:bCs/>
          <w:color w:val="000000"/>
          <w:sz w:val="24"/>
          <w:szCs w:val="24"/>
        </w:rPr>
        <w:t xml:space="preserve"> </w:t>
      </w:r>
      <w:r w:rsidRPr="00706953">
        <w:rPr>
          <w:color w:val="000000"/>
          <w:sz w:val="24"/>
          <w:szCs w:val="24"/>
        </w:rPr>
        <w:t xml:space="preserve">mendapatkan </w:t>
      </w:r>
      <w:r w:rsidRPr="00706953">
        <w:rPr>
          <w:i/>
          <w:iCs/>
          <w:color w:val="000000"/>
          <w:sz w:val="24"/>
          <w:szCs w:val="24"/>
        </w:rPr>
        <w:t>net income</w:t>
      </w:r>
      <w:r w:rsidRPr="00706953">
        <w:rPr>
          <w:color w:val="000000"/>
          <w:sz w:val="24"/>
          <w:szCs w:val="24"/>
        </w:rPr>
        <w:t xml:space="preserve">. Semakin tinggi </w:t>
      </w:r>
      <w:r w:rsidRPr="00706953">
        <w:rPr>
          <w:i/>
          <w:iCs/>
          <w:color w:val="000000"/>
          <w:sz w:val="24"/>
          <w:szCs w:val="24"/>
        </w:rPr>
        <w:t xml:space="preserve">return </w:t>
      </w:r>
      <w:r w:rsidRPr="00706953">
        <w:rPr>
          <w:color w:val="000000"/>
          <w:sz w:val="24"/>
          <w:szCs w:val="24"/>
        </w:rPr>
        <w:t xml:space="preserve">semakin baik karena </w:t>
      </w:r>
      <w:r w:rsidRPr="00706953">
        <w:rPr>
          <w:i/>
          <w:iCs/>
          <w:color w:val="000000"/>
          <w:sz w:val="24"/>
          <w:szCs w:val="24"/>
        </w:rPr>
        <w:t>deviden</w:t>
      </w:r>
      <w:r w:rsidRPr="00706953">
        <w:rPr>
          <w:b/>
          <w:bCs/>
          <w:color w:val="000000"/>
          <w:sz w:val="24"/>
          <w:szCs w:val="24"/>
        </w:rPr>
        <w:t xml:space="preserve"> </w:t>
      </w:r>
      <w:r w:rsidRPr="00706953">
        <w:rPr>
          <w:color w:val="000000"/>
          <w:sz w:val="24"/>
          <w:szCs w:val="24"/>
        </w:rPr>
        <w:t xml:space="preserve">yang dibagikan atau ditanamkan kembali sebagai </w:t>
      </w:r>
      <w:r w:rsidRPr="00706953">
        <w:rPr>
          <w:i/>
          <w:iCs/>
          <w:color w:val="000000"/>
          <w:sz w:val="24"/>
          <w:szCs w:val="24"/>
        </w:rPr>
        <w:t xml:space="preserve">retained earning </w:t>
      </w:r>
      <w:r w:rsidRPr="00706953">
        <w:rPr>
          <w:color w:val="000000"/>
          <w:sz w:val="24"/>
          <w:szCs w:val="24"/>
        </w:rPr>
        <w:t>juga akan</w:t>
      </w:r>
      <w:r w:rsidRPr="00706953">
        <w:rPr>
          <w:b/>
          <w:bCs/>
          <w:color w:val="000000"/>
          <w:sz w:val="24"/>
          <w:szCs w:val="24"/>
        </w:rPr>
        <w:t xml:space="preserve"> </w:t>
      </w:r>
      <w:r w:rsidRPr="00706953">
        <w:rPr>
          <w:color w:val="000000"/>
          <w:sz w:val="24"/>
          <w:szCs w:val="24"/>
        </w:rPr>
        <w:t>semakin besar. ROE merupakan alat lazim digunakan investor dan pemimpin</w:t>
      </w:r>
      <w:r w:rsidRPr="00706953">
        <w:rPr>
          <w:b/>
          <w:bCs/>
          <w:color w:val="000000"/>
          <w:sz w:val="24"/>
          <w:szCs w:val="24"/>
        </w:rPr>
        <w:t xml:space="preserve"> </w:t>
      </w:r>
      <w:r w:rsidRPr="00706953">
        <w:rPr>
          <w:color w:val="000000"/>
          <w:sz w:val="24"/>
          <w:szCs w:val="24"/>
        </w:rPr>
        <w:t>perusahaan untuk mengukur seberapa besar keuntungan yang didapat dari modal</w:t>
      </w:r>
      <w:r w:rsidRPr="00706953">
        <w:rPr>
          <w:b/>
          <w:bCs/>
          <w:color w:val="000000"/>
          <w:sz w:val="24"/>
          <w:szCs w:val="24"/>
        </w:rPr>
        <w:t xml:space="preserve"> </w:t>
      </w:r>
      <w:r w:rsidRPr="00706953">
        <w:rPr>
          <w:color w:val="000000"/>
          <w:sz w:val="24"/>
          <w:szCs w:val="24"/>
        </w:rPr>
        <w:t>sendiri yang dimiliki oleh perusahaan.</w:t>
      </w:r>
      <w:r w:rsidRPr="00706953">
        <w:rPr>
          <w:b/>
          <w:bCs/>
          <w:color w:val="000000"/>
          <w:sz w:val="24"/>
          <w:szCs w:val="24"/>
        </w:rPr>
        <w:t xml:space="preserve"> </w:t>
      </w:r>
      <w:r w:rsidRPr="00706953">
        <w:rPr>
          <w:color w:val="000000"/>
          <w:sz w:val="24"/>
          <w:szCs w:val="24"/>
        </w:rPr>
        <w:t xml:space="preserve">Adapun perhitungan </w:t>
      </w:r>
      <w:r w:rsidRPr="00706953">
        <w:rPr>
          <w:i/>
          <w:iCs/>
          <w:color w:val="000000"/>
          <w:sz w:val="24"/>
          <w:szCs w:val="24"/>
        </w:rPr>
        <w:t xml:space="preserve">Return On Equity </w:t>
      </w:r>
      <w:r w:rsidRPr="00706953">
        <w:rPr>
          <w:color w:val="000000"/>
          <w:sz w:val="24"/>
          <w:szCs w:val="24"/>
        </w:rPr>
        <w:t>(ROE) pada PT. Surya Eka Lestari Ogan Komering Ulu pada tahun 2013-2017 yang dapat dihitung dengan</w:t>
      </w:r>
      <w:r w:rsidRPr="00706953">
        <w:rPr>
          <w:b/>
          <w:bCs/>
          <w:color w:val="000000"/>
          <w:sz w:val="24"/>
          <w:szCs w:val="24"/>
        </w:rPr>
        <w:t xml:space="preserve"> </w:t>
      </w:r>
      <w:r w:rsidRPr="00706953">
        <w:rPr>
          <w:color w:val="000000"/>
          <w:sz w:val="24"/>
          <w:szCs w:val="24"/>
        </w:rPr>
        <w:t>menggunakan rumus :</w:t>
      </w:r>
    </w:p>
    <w:p w:rsidR="0006085F" w:rsidRDefault="0006085F" w:rsidP="00706953">
      <w:pPr>
        <w:autoSpaceDE w:val="0"/>
        <w:autoSpaceDN w:val="0"/>
        <w:adjustRightInd w:val="0"/>
        <w:rPr>
          <w:color w:val="000000"/>
          <w:sz w:val="24"/>
          <w:szCs w:val="24"/>
        </w:rPr>
        <w:sectPr w:rsidR="0006085F" w:rsidSect="0006085F">
          <w:type w:val="continuous"/>
          <w:pgSz w:w="11906" w:h="16838"/>
          <w:pgMar w:top="1418" w:right="1276" w:bottom="1418" w:left="1276" w:header="709" w:footer="1134" w:gutter="0"/>
          <w:cols w:num="2" w:space="510"/>
          <w:docGrid w:linePitch="360"/>
        </w:sectPr>
      </w:pPr>
    </w:p>
    <w:p w:rsidR="00706953" w:rsidRPr="00706953" w:rsidRDefault="00706953" w:rsidP="00706953">
      <w:pPr>
        <w:autoSpaceDE w:val="0"/>
        <w:autoSpaceDN w:val="0"/>
        <w:adjustRightInd w:val="0"/>
        <w:rPr>
          <w:color w:val="000000"/>
          <w:sz w:val="24"/>
          <w:szCs w:val="24"/>
        </w:rPr>
      </w:pPr>
    </w:p>
    <w:p w:rsidR="00706953" w:rsidRPr="00706953" w:rsidRDefault="00706953" w:rsidP="00706953">
      <w:pPr>
        <w:autoSpaceDE w:val="0"/>
        <w:autoSpaceDN w:val="0"/>
        <w:adjustRightInd w:val="0"/>
        <w:rPr>
          <w:color w:val="000000"/>
          <w:sz w:val="24"/>
          <w:szCs w:val="24"/>
        </w:rPr>
      </w:pPr>
      <m:oMathPara>
        <m:oMathParaPr>
          <m:jc m:val="center"/>
        </m:oMathParaPr>
        <m:oMath>
          <m:r>
            <m:rPr>
              <m:sty m:val="p"/>
            </m:rPr>
            <w:rPr>
              <w:rFonts w:ascii="Cambria Math" w:hAnsi="Cambria Math"/>
              <w:color w:val="000000"/>
              <w:sz w:val="24"/>
              <w:szCs w:val="24"/>
            </w:rPr>
            <m:t>ROE</m:t>
          </m:r>
          <m:r>
            <w:rPr>
              <w:rFonts w:ascii="Cambria Math" w:hAnsi="Cambria Math"/>
              <w:color w:val="000000"/>
              <w:sz w:val="24"/>
              <w:szCs w:val="24"/>
            </w:rPr>
            <m:t>=</m:t>
          </m:r>
          <m:f>
            <m:fPr>
              <m:ctrlPr>
                <w:rPr>
                  <w:rFonts w:ascii="Cambria Math" w:hAnsi="Cambria Math"/>
                  <w:i/>
                  <w:color w:val="000000"/>
                  <w:sz w:val="24"/>
                  <w:szCs w:val="24"/>
                </w:rPr>
              </m:ctrlPr>
            </m:fPr>
            <m:num>
              <m:r>
                <w:rPr>
                  <w:rFonts w:ascii="Cambria Math" w:hAnsi="Cambria Math"/>
                  <w:color w:val="000000"/>
                  <w:sz w:val="24"/>
                  <w:szCs w:val="24"/>
                </w:rPr>
                <m:t>Laba Bersih</m:t>
              </m:r>
            </m:num>
            <m:den>
              <m:r>
                <w:rPr>
                  <w:rFonts w:ascii="Cambria Math" w:hAnsi="Cambria Math"/>
                  <w:color w:val="000000"/>
                  <w:sz w:val="24"/>
                  <w:szCs w:val="24"/>
                </w:rPr>
                <m:t>Total Equity</m:t>
              </m:r>
            </m:den>
          </m:f>
          <m:r>
            <w:rPr>
              <w:rFonts w:ascii="Cambria Math" w:hAnsi="Cambria Math"/>
              <w:color w:val="000000"/>
              <w:sz w:val="24"/>
              <w:szCs w:val="24"/>
            </w:rPr>
            <m:t>x 100%</m:t>
          </m:r>
        </m:oMath>
      </m:oMathPara>
    </w:p>
    <w:p w:rsidR="00706953" w:rsidRPr="00706953" w:rsidRDefault="00706953" w:rsidP="00706953">
      <w:pPr>
        <w:autoSpaceDE w:val="0"/>
        <w:autoSpaceDN w:val="0"/>
        <w:adjustRightInd w:val="0"/>
        <w:rPr>
          <w:sz w:val="24"/>
          <w:szCs w:val="24"/>
        </w:rPr>
      </w:pPr>
    </w:p>
    <w:p w:rsidR="00706953" w:rsidRPr="00706953" w:rsidRDefault="00706953" w:rsidP="00706953">
      <w:pPr>
        <w:autoSpaceDE w:val="0"/>
        <w:autoSpaceDN w:val="0"/>
        <w:adjustRightInd w:val="0"/>
        <w:rPr>
          <w:color w:val="000000"/>
          <w:sz w:val="24"/>
          <w:szCs w:val="24"/>
        </w:rPr>
      </w:pPr>
      <m:oMathPara>
        <m:oMath>
          <m:r>
            <w:rPr>
              <w:rFonts w:ascii="Cambria Math" w:hAnsi="Cambria Math"/>
              <w:color w:val="000000"/>
              <w:sz w:val="24"/>
              <w:szCs w:val="24"/>
            </w:rPr>
            <m:t xml:space="preserve">-Return On Assets </m:t>
          </m:r>
          <m:d>
            <m:dPr>
              <m:ctrlPr>
                <w:rPr>
                  <w:rFonts w:ascii="Cambria Math" w:hAnsi="Cambria Math"/>
                  <w:i/>
                  <w:color w:val="000000"/>
                  <w:sz w:val="24"/>
                  <w:szCs w:val="24"/>
                </w:rPr>
              </m:ctrlPr>
            </m:dPr>
            <m:e>
              <m:r>
                <w:rPr>
                  <w:rFonts w:ascii="Cambria Math" w:hAnsi="Cambria Math"/>
                  <w:color w:val="000000"/>
                  <w:sz w:val="24"/>
                  <w:szCs w:val="24"/>
                </w:rPr>
                <m:t>ROA</m:t>
              </m:r>
            </m:e>
          </m:d>
          <m:r>
            <m:rPr>
              <m:sty m:val="p"/>
            </m:rPr>
            <w:rPr>
              <w:rFonts w:ascii="Cambria Math" w:hAnsi="Cambria Math"/>
              <w:color w:val="000000"/>
              <w:sz w:val="24"/>
              <w:szCs w:val="24"/>
            </w:rPr>
            <m:t xml:space="preserve"> tahun 2013=</m:t>
          </m:r>
          <m:f>
            <m:fPr>
              <m:ctrlPr>
                <w:rPr>
                  <w:rFonts w:ascii="Cambria Math" w:hAnsi="Cambria Math"/>
                  <w:i/>
                  <w:color w:val="000000"/>
                  <w:sz w:val="24"/>
                  <w:szCs w:val="24"/>
                </w:rPr>
              </m:ctrlPr>
            </m:fPr>
            <m:num>
              <m:r>
                <w:rPr>
                  <w:rFonts w:ascii="Cambria Math" w:hAnsi="Cambria Math"/>
                  <w:color w:val="000000"/>
                  <w:sz w:val="24"/>
                  <w:szCs w:val="24"/>
                </w:rPr>
                <m:t>84.793.720</m:t>
              </m:r>
            </m:num>
            <m:den>
              <m:r>
                <w:rPr>
                  <w:rFonts w:ascii="Cambria Math" w:hAnsi="Cambria Math"/>
                  <w:color w:val="000000"/>
                  <w:sz w:val="24"/>
                  <w:szCs w:val="24"/>
                </w:rPr>
                <m:t>234.793.720</m:t>
              </m:r>
            </m:den>
          </m:f>
          <m:r>
            <w:rPr>
              <w:rFonts w:ascii="Cambria Math" w:hAnsi="Cambria Math"/>
              <w:color w:val="000000"/>
              <w:sz w:val="24"/>
              <w:szCs w:val="24"/>
            </w:rPr>
            <m:t>x 100%=36,11%</m:t>
          </m:r>
        </m:oMath>
      </m:oMathPara>
    </w:p>
    <w:p w:rsidR="00706953" w:rsidRPr="00706953" w:rsidRDefault="00706953" w:rsidP="00706953">
      <w:pPr>
        <w:autoSpaceDE w:val="0"/>
        <w:autoSpaceDN w:val="0"/>
        <w:adjustRightInd w:val="0"/>
        <w:rPr>
          <w:color w:val="000000"/>
          <w:sz w:val="24"/>
          <w:szCs w:val="24"/>
        </w:rPr>
      </w:pPr>
    </w:p>
    <w:p w:rsidR="0006085F" w:rsidRDefault="0006085F" w:rsidP="00706953">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06085F" w:rsidRDefault="00706953" w:rsidP="00706953">
      <w:pPr>
        <w:autoSpaceDE w:val="0"/>
        <w:autoSpaceDN w:val="0"/>
        <w:adjustRightInd w:val="0"/>
        <w:jc w:val="both"/>
        <w:rPr>
          <w:color w:val="000000"/>
          <w:sz w:val="24"/>
          <w:szCs w:val="24"/>
        </w:rPr>
        <w:sectPr w:rsidR="0006085F" w:rsidSect="0006085F">
          <w:type w:val="continuous"/>
          <w:pgSz w:w="11906" w:h="16838"/>
          <w:pgMar w:top="1418" w:right="1276" w:bottom="1418" w:left="1276" w:header="709" w:footer="1134" w:gutter="0"/>
          <w:cols w:num="2" w:space="510"/>
          <w:docGrid w:linePitch="360"/>
        </w:sectPr>
      </w:pPr>
      <w:r w:rsidRPr="00706953">
        <w:rPr>
          <w:color w:val="000000"/>
          <w:sz w:val="24"/>
          <w:szCs w:val="24"/>
        </w:rPr>
        <w:lastRenderedPageBreak/>
        <w:t xml:space="preserve">Dari hasil perhitungan diatas jumlah ROE pada tahun 2013 yang dicapai sebesar 36,11%, dari total modal yang di operasikan sebesar Rp.234.793.720 perusahaan mampu </w:t>
      </w:r>
      <w:r w:rsidRPr="00706953">
        <w:rPr>
          <w:color w:val="000000"/>
          <w:sz w:val="24"/>
          <w:szCs w:val="24"/>
        </w:rPr>
        <w:lastRenderedPageBreak/>
        <w:t>menghasilkan laba bersih sebesar Rp.84.793.720. Artinya,  setiap Rp.1 ekuitas turut berkontribusi menciptakan Rp.0,361 (dibulatkan Rp.0,36) laba bersih</w:t>
      </w:r>
    </w:p>
    <w:p w:rsidR="00706953" w:rsidRPr="00706953" w:rsidRDefault="00706953" w:rsidP="00706953">
      <w:pPr>
        <w:autoSpaceDE w:val="0"/>
        <w:autoSpaceDN w:val="0"/>
        <w:adjustRightInd w:val="0"/>
        <w:jc w:val="both"/>
        <w:rPr>
          <w:color w:val="000000"/>
          <w:sz w:val="24"/>
          <w:szCs w:val="24"/>
        </w:rPr>
      </w:pPr>
      <w:r w:rsidRPr="00706953">
        <w:rPr>
          <w:color w:val="000000"/>
          <w:sz w:val="24"/>
          <w:szCs w:val="24"/>
        </w:rPr>
        <w:lastRenderedPageBreak/>
        <w:t>.</w:t>
      </w:r>
    </w:p>
    <w:p w:rsidR="00706953" w:rsidRPr="00706953" w:rsidRDefault="00706953" w:rsidP="00706953">
      <w:pPr>
        <w:autoSpaceDE w:val="0"/>
        <w:autoSpaceDN w:val="0"/>
        <w:adjustRightInd w:val="0"/>
        <w:rPr>
          <w:color w:val="000000"/>
          <w:sz w:val="24"/>
          <w:szCs w:val="24"/>
        </w:rPr>
      </w:pPr>
    </w:p>
    <w:p w:rsidR="00706953" w:rsidRPr="00706953" w:rsidRDefault="00706953" w:rsidP="00706953">
      <w:pPr>
        <w:autoSpaceDE w:val="0"/>
        <w:autoSpaceDN w:val="0"/>
        <w:adjustRightInd w:val="0"/>
        <w:rPr>
          <w:color w:val="000000"/>
          <w:sz w:val="24"/>
          <w:szCs w:val="24"/>
        </w:rPr>
      </w:pPr>
      <m:oMathPara>
        <m:oMath>
          <m:r>
            <w:rPr>
              <w:rFonts w:ascii="Cambria Math" w:hAnsi="Cambria Math"/>
              <w:color w:val="000000"/>
              <w:sz w:val="24"/>
              <w:szCs w:val="24"/>
            </w:rPr>
            <m:t xml:space="preserve">Return On Assets </m:t>
          </m:r>
          <m:d>
            <m:dPr>
              <m:ctrlPr>
                <w:rPr>
                  <w:rFonts w:ascii="Cambria Math" w:hAnsi="Cambria Math"/>
                  <w:i/>
                  <w:color w:val="000000"/>
                  <w:sz w:val="24"/>
                  <w:szCs w:val="24"/>
                </w:rPr>
              </m:ctrlPr>
            </m:dPr>
            <m:e>
              <m:r>
                <w:rPr>
                  <w:rFonts w:ascii="Cambria Math" w:hAnsi="Cambria Math"/>
                  <w:color w:val="000000"/>
                  <w:sz w:val="24"/>
                  <w:szCs w:val="24"/>
                </w:rPr>
                <m:t>ROA</m:t>
              </m:r>
            </m:e>
          </m:d>
          <m:r>
            <m:rPr>
              <m:sty m:val="p"/>
            </m:rPr>
            <w:rPr>
              <w:rFonts w:ascii="Cambria Math" w:hAnsi="Cambria Math"/>
              <w:color w:val="000000"/>
              <w:sz w:val="24"/>
              <w:szCs w:val="24"/>
            </w:rPr>
            <m:t xml:space="preserve"> tahun 2014=</m:t>
          </m:r>
          <m:f>
            <m:fPr>
              <m:ctrlPr>
                <w:rPr>
                  <w:rFonts w:ascii="Cambria Math" w:hAnsi="Cambria Math"/>
                  <w:i/>
                  <w:color w:val="000000"/>
                  <w:sz w:val="24"/>
                  <w:szCs w:val="24"/>
                </w:rPr>
              </m:ctrlPr>
            </m:fPr>
            <m:num>
              <m:r>
                <w:rPr>
                  <w:rFonts w:ascii="Cambria Math" w:hAnsi="Cambria Math"/>
                  <w:color w:val="000000"/>
                  <w:sz w:val="24"/>
                  <w:szCs w:val="24"/>
                </w:rPr>
                <m:t>234.952.556</m:t>
              </m:r>
            </m:num>
            <m:den>
              <m:r>
                <w:rPr>
                  <w:rFonts w:ascii="Cambria Math" w:hAnsi="Cambria Math"/>
                  <w:color w:val="000000"/>
                  <w:sz w:val="24"/>
                  <w:szCs w:val="24"/>
                </w:rPr>
                <m:t>469.746.276</m:t>
              </m:r>
            </m:den>
          </m:f>
          <m:r>
            <w:rPr>
              <w:rFonts w:ascii="Cambria Math" w:hAnsi="Cambria Math"/>
              <w:color w:val="000000"/>
              <w:sz w:val="24"/>
              <w:szCs w:val="24"/>
            </w:rPr>
            <m:t>x 100%=50,02%</m:t>
          </m:r>
        </m:oMath>
      </m:oMathPara>
    </w:p>
    <w:p w:rsidR="00706953" w:rsidRPr="00706953" w:rsidRDefault="00706953" w:rsidP="00706953">
      <w:pPr>
        <w:autoSpaceDE w:val="0"/>
        <w:autoSpaceDN w:val="0"/>
        <w:adjustRightInd w:val="0"/>
        <w:rPr>
          <w:color w:val="000000"/>
          <w:sz w:val="24"/>
          <w:szCs w:val="24"/>
        </w:rPr>
      </w:pPr>
    </w:p>
    <w:p w:rsidR="0006085F" w:rsidRDefault="0006085F" w:rsidP="00706953">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06085F" w:rsidRDefault="00706953" w:rsidP="00706953">
      <w:pPr>
        <w:autoSpaceDE w:val="0"/>
        <w:autoSpaceDN w:val="0"/>
        <w:adjustRightInd w:val="0"/>
        <w:jc w:val="both"/>
        <w:rPr>
          <w:color w:val="000000"/>
          <w:sz w:val="24"/>
          <w:szCs w:val="24"/>
        </w:rPr>
        <w:sectPr w:rsidR="0006085F" w:rsidSect="0006085F">
          <w:type w:val="continuous"/>
          <w:pgSz w:w="11906" w:h="16838"/>
          <w:pgMar w:top="1418" w:right="1276" w:bottom="1418" w:left="1276" w:header="709" w:footer="1134" w:gutter="0"/>
          <w:cols w:num="2" w:space="510"/>
          <w:docGrid w:linePitch="360"/>
        </w:sectPr>
      </w:pPr>
      <w:r w:rsidRPr="00706953">
        <w:rPr>
          <w:color w:val="000000"/>
          <w:sz w:val="24"/>
          <w:szCs w:val="24"/>
        </w:rPr>
        <w:lastRenderedPageBreak/>
        <w:t xml:space="preserve">Dari hasil perhitungan diatas jumlah ROE pada tahun 2014 yang dicapai sebesar 50,02%, dari total ekuitas yang dioperasikan sebesar Rp.469.746.276 perusahaan mampu menghasilkan laba bersih sebesar Rp.234.952.556. Artinya, setiap Rp.1 ekuitas turut berkontribusi menciptakan Rp.0,500 </w:t>
      </w:r>
      <w:r w:rsidRPr="00706953">
        <w:rPr>
          <w:color w:val="000000"/>
          <w:sz w:val="24"/>
          <w:szCs w:val="24"/>
        </w:rPr>
        <w:lastRenderedPageBreak/>
        <w:t>(dibulatkan Rp.0,50) laba bersih. Hasil ini menunjukkan bahwa tingkat pengembalian atas ekuitas mengalami kenaikan sebesar 13,91% dari tahun sebelumnya. Dengan demikian telah terjadi peningkatan kinerja manajemen dalam menghasilkan laba bagi perusahaan.</w:t>
      </w:r>
    </w:p>
    <w:p w:rsidR="00706953" w:rsidRPr="00706953" w:rsidRDefault="00706953" w:rsidP="00706953">
      <w:pPr>
        <w:autoSpaceDE w:val="0"/>
        <w:autoSpaceDN w:val="0"/>
        <w:adjustRightInd w:val="0"/>
        <w:jc w:val="both"/>
        <w:rPr>
          <w:color w:val="000000"/>
          <w:sz w:val="24"/>
          <w:szCs w:val="24"/>
        </w:rPr>
      </w:pPr>
    </w:p>
    <w:p w:rsidR="00706953" w:rsidRPr="00706953" w:rsidRDefault="00706953" w:rsidP="00706953">
      <w:pPr>
        <w:autoSpaceDE w:val="0"/>
        <w:autoSpaceDN w:val="0"/>
        <w:adjustRightInd w:val="0"/>
        <w:rPr>
          <w:color w:val="000000"/>
          <w:sz w:val="24"/>
          <w:szCs w:val="24"/>
        </w:rPr>
      </w:pPr>
    </w:p>
    <w:p w:rsidR="00706953" w:rsidRPr="00706953" w:rsidRDefault="00706953" w:rsidP="00706953">
      <w:pPr>
        <w:autoSpaceDE w:val="0"/>
        <w:autoSpaceDN w:val="0"/>
        <w:adjustRightInd w:val="0"/>
        <w:rPr>
          <w:color w:val="000000"/>
          <w:sz w:val="24"/>
          <w:szCs w:val="24"/>
        </w:rPr>
      </w:pPr>
      <m:oMathPara>
        <m:oMath>
          <m:r>
            <w:rPr>
              <w:rFonts w:ascii="Cambria Math" w:hAnsi="Cambria Math"/>
              <w:color w:val="000000"/>
              <w:sz w:val="24"/>
              <w:szCs w:val="24"/>
            </w:rPr>
            <m:t xml:space="preserve">Return On Assets </m:t>
          </m:r>
          <m:d>
            <m:dPr>
              <m:ctrlPr>
                <w:rPr>
                  <w:rFonts w:ascii="Cambria Math" w:hAnsi="Cambria Math"/>
                  <w:i/>
                  <w:color w:val="000000"/>
                  <w:sz w:val="24"/>
                  <w:szCs w:val="24"/>
                </w:rPr>
              </m:ctrlPr>
            </m:dPr>
            <m:e>
              <m:r>
                <w:rPr>
                  <w:rFonts w:ascii="Cambria Math" w:hAnsi="Cambria Math"/>
                  <w:color w:val="000000"/>
                  <w:sz w:val="24"/>
                  <w:szCs w:val="24"/>
                </w:rPr>
                <m:t>ROA</m:t>
              </m:r>
            </m:e>
          </m:d>
          <m:r>
            <m:rPr>
              <m:sty m:val="p"/>
            </m:rPr>
            <w:rPr>
              <w:rFonts w:ascii="Cambria Math" w:hAnsi="Cambria Math"/>
              <w:color w:val="000000"/>
              <w:sz w:val="24"/>
              <w:szCs w:val="24"/>
            </w:rPr>
            <m:t xml:space="preserve"> tahun 2015=</m:t>
          </m:r>
          <m:f>
            <m:fPr>
              <m:ctrlPr>
                <w:rPr>
                  <w:rFonts w:ascii="Cambria Math" w:hAnsi="Cambria Math"/>
                  <w:i/>
                  <w:color w:val="000000"/>
                  <w:sz w:val="24"/>
                  <w:szCs w:val="24"/>
                </w:rPr>
              </m:ctrlPr>
            </m:fPr>
            <m:num>
              <m:r>
                <w:rPr>
                  <w:rFonts w:ascii="Cambria Math" w:hAnsi="Cambria Math"/>
                  <w:color w:val="000000"/>
                  <w:sz w:val="24"/>
                  <w:szCs w:val="24"/>
                </w:rPr>
                <m:t>409.124.212</m:t>
              </m:r>
            </m:num>
            <m:den>
              <m:r>
                <w:rPr>
                  <w:rFonts w:ascii="Cambria Math" w:hAnsi="Cambria Math"/>
                  <w:color w:val="000000"/>
                  <w:sz w:val="24"/>
                  <w:szCs w:val="24"/>
                </w:rPr>
                <m:t>878.870.488</m:t>
              </m:r>
            </m:den>
          </m:f>
          <m:r>
            <w:rPr>
              <w:rFonts w:ascii="Cambria Math" w:hAnsi="Cambria Math"/>
              <w:color w:val="000000"/>
              <w:sz w:val="24"/>
              <w:szCs w:val="24"/>
            </w:rPr>
            <m:t>x 100%=46,55%</m:t>
          </m:r>
        </m:oMath>
      </m:oMathPara>
    </w:p>
    <w:p w:rsidR="00706953" w:rsidRPr="00706953" w:rsidRDefault="00706953" w:rsidP="00706953">
      <w:pPr>
        <w:autoSpaceDE w:val="0"/>
        <w:autoSpaceDN w:val="0"/>
        <w:adjustRightInd w:val="0"/>
        <w:rPr>
          <w:color w:val="000000"/>
          <w:sz w:val="24"/>
          <w:szCs w:val="24"/>
        </w:rPr>
      </w:pPr>
    </w:p>
    <w:p w:rsidR="0006085F" w:rsidRDefault="0006085F" w:rsidP="00706953">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706953" w:rsidRPr="00706953" w:rsidRDefault="00706953" w:rsidP="00706953">
      <w:pPr>
        <w:autoSpaceDE w:val="0"/>
        <w:autoSpaceDN w:val="0"/>
        <w:adjustRightInd w:val="0"/>
        <w:jc w:val="both"/>
        <w:rPr>
          <w:color w:val="000000"/>
          <w:sz w:val="24"/>
          <w:szCs w:val="24"/>
        </w:rPr>
      </w:pPr>
      <w:r w:rsidRPr="00706953">
        <w:rPr>
          <w:color w:val="000000"/>
          <w:sz w:val="24"/>
          <w:szCs w:val="24"/>
        </w:rPr>
        <w:lastRenderedPageBreak/>
        <w:t xml:space="preserve">Dari hasil perhitungan diatas jumlah ROE pada tahun 2015 yang dicapai sebesar 46,55%, dari total ekuitas yang dioperasikan sebesar Rp.878.870.488. Perusahaan mampu menghasilkan laba bersih sebesar Rp.409.124.212. Artinya, setiap Rp.1 ekuitas </w:t>
      </w:r>
      <w:r w:rsidRPr="00706953">
        <w:rPr>
          <w:color w:val="000000"/>
          <w:sz w:val="24"/>
          <w:szCs w:val="24"/>
        </w:rPr>
        <w:lastRenderedPageBreak/>
        <w:t xml:space="preserve">turut berkontribusi menciptakan Rp.0,465 (dibulatkan Rp.0,47) laba bersih. Hasil ini menunjukkan bahwa tingkat pengembalian atas ekuitas mengalami penurunan sebesar 3,47% dari tahun sebelumnya. Ini menunjukkan ketidakmampuan manajemen </w:t>
      </w:r>
      <w:r w:rsidRPr="00706953">
        <w:rPr>
          <w:color w:val="000000"/>
          <w:sz w:val="24"/>
          <w:szCs w:val="24"/>
        </w:rPr>
        <w:lastRenderedPageBreak/>
        <w:t xml:space="preserve">dalam memperoleh ROE untuk menghasilkan </w:t>
      </w:r>
      <w:r w:rsidRPr="00706953">
        <w:rPr>
          <w:color w:val="000000"/>
          <w:sz w:val="24"/>
          <w:szCs w:val="24"/>
        </w:rPr>
        <w:lastRenderedPageBreak/>
        <w:t>laba bagi perusahaan.</w:t>
      </w:r>
    </w:p>
    <w:p w:rsidR="0006085F" w:rsidRDefault="0006085F" w:rsidP="00706953">
      <w:pPr>
        <w:autoSpaceDE w:val="0"/>
        <w:autoSpaceDN w:val="0"/>
        <w:adjustRightInd w:val="0"/>
        <w:jc w:val="both"/>
        <w:rPr>
          <w:color w:val="000000"/>
          <w:sz w:val="24"/>
          <w:szCs w:val="24"/>
        </w:rPr>
        <w:sectPr w:rsidR="0006085F" w:rsidSect="0006085F">
          <w:type w:val="continuous"/>
          <w:pgSz w:w="11906" w:h="16838"/>
          <w:pgMar w:top="1418" w:right="1276" w:bottom="1418" w:left="1276" w:header="709" w:footer="1134" w:gutter="0"/>
          <w:cols w:num="2" w:space="510"/>
          <w:docGrid w:linePitch="360"/>
        </w:sectPr>
      </w:pPr>
    </w:p>
    <w:p w:rsidR="00706953" w:rsidRPr="00706953" w:rsidRDefault="00706953" w:rsidP="00706953">
      <w:pPr>
        <w:autoSpaceDE w:val="0"/>
        <w:autoSpaceDN w:val="0"/>
        <w:adjustRightInd w:val="0"/>
        <w:jc w:val="both"/>
        <w:rPr>
          <w:color w:val="000000"/>
          <w:sz w:val="24"/>
          <w:szCs w:val="24"/>
        </w:rPr>
      </w:pPr>
    </w:p>
    <w:p w:rsidR="00706953" w:rsidRPr="00706953" w:rsidRDefault="00706953" w:rsidP="00706953">
      <w:pPr>
        <w:autoSpaceDE w:val="0"/>
        <w:autoSpaceDN w:val="0"/>
        <w:adjustRightInd w:val="0"/>
        <w:rPr>
          <w:color w:val="000000"/>
          <w:sz w:val="24"/>
          <w:szCs w:val="24"/>
        </w:rPr>
      </w:pPr>
      <m:oMathPara>
        <m:oMath>
          <m:r>
            <w:rPr>
              <w:rFonts w:ascii="Cambria Math" w:hAnsi="Cambria Math"/>
              <w:color w:val="000000"/>
              <w:sz w:val="24"/>
              <w:szCs w:val="24"/>
            </w:rPr>
            <m:t xml:space="preserve">Return On Assets </m:t>
          </m:r>
          <m:d>
            <m:dPr>
              <m:ctrlPr>
                <w:rPr>
                  <w:rFonts w:ascii="Cambria Math" w:hAnsi="Cambria Math"/>
                  <w:i/>
                  <w:color w:val="000000"/>
                  <w:sz w:val="24"/>
                  <w:szCs w:val="24"/>
                </w:rPr>
              </m:ctrlPr>
            </m:dPr>
            <m:e>
              <m:r>
                <w:rPr>
                  <w:rFonts w:ascii="Cambria Math" w:hAnsi="Cambria Math"/>
                  <w:color w:val="000000"/>
                  <w:sz w:val="24"/>
                  <w:szCs w:val="24"/>
                </w:rPr>
                <m:t>ROA</m:t>
              </m:r>
            </m:e>
          </m:d>
          <m:r>
            <m:rPr>
              <m:sty m:val="p"/>
            </m:rPr>
            <w:rPr>
              <w:rFonts w:ascii="Cambria Math" w:hAnsi="Cambria Math"/>
              <w:color w:val="000000"/>
              <w:sz w:val="24"/>
              <w:szCs w:val="24"/>
            </w:rPr>
            <m:t xml:space="preserve"> tahun 2016=</m:t>
          </m:r>
          <m:f>
            <m:fPr>
              <m:ctrlPr>
                <w:rPr>
                  <w:rFonts w:ascii="Cambria Math" w:hAnsi="Cambria Math"/>
                  <w:i/>
                  <w:color w:val="000000"/>
                  <w:sz w:val="24"/>
                  <w:szCs w:val="24"/>
                </w:rPr>
              </m:ctrlPr>
            </m:fPr>
            <m:num>
              <m:r>
                <w:rPr>
                  <w:rFonts w:ascii="Cambria Math" w:hAnsi="Cambria Math"/>
                  <w:color w:val="000000"/>
                  <w:sz w:val="24"/>
                  <w:szCs w:val="24"/>
                </w:rPr>
                <m:t>362.636.285</m:t>
              </m:r>
            </m:num>
            <m:den>
              <m:r>
                <w:rPr>
                  <w:rFonts w:ascii="Cambria Math" w:hAnsi="Cambria Math"/>
                  <w:color w:val="000000"/>
                  <w:sz w:val="24"/>
                  <w:szCs w:val="24"/>
                </w:rPr>
                <m:t>1.241.506.773</m:t>
              </m:r>
            </m:den>
          </m:f>
          <m:r>
            <w:rPr>
              <w:rFonts w:ascii="Cambria Math" w:hAnsi="Cambria Math"/>
              <w:color w:val="000000"/>
              <w:sz w:val="24"/>
              <w:szCs w:val="24"/>
            </w:rPr>
            <m:t>x 100%=29.21%</m:t>
          </m:r>
        </m:oMath>
      </m:oMathPara>
    </w:p>
    <w:p w:rsidR="00706953" w:rsidRPr="00706953" w:rsidRDefault="00706953" w:rsidP="00706953">
      <w:pPr>
        <w:autoSpaceDE w:val="0"/>
        <w:autoSpaceDN w:val="0"/>
        <w:adjustRightInd w:val="0"/>
        <w:jc w:val="both"/>
        <w:rPr>
          <w:color w:val="000000"/>
          <w:sz w:val="24"/>
          <w:szCs w:val="24"/>
        </w:rPr>
      </w:pPr>
      <w:r w:rsidRPr="00706953">
        <w:rPr>
          <w:color w:val="000000"/>
          <w:sz w:val="24"/>
          <w:szCs w:val="24"/>
        </w:rPr>
        <w:tab/>
      </w:r>
    </w:p>
    <w:p w:rsidR="0006085F" w:rsidRDefault="0006085F" w:rsidP="00706953">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06085F" w:rsidRDefault="00706953" w:rsidP="00706953">
      <w:pPr>
        <w:autoSpaceDE w:val="0"/>
        <w:autoSpaceDN w:val="0"/>
        <w:adjustRightInd w:val="0"/>
        <w:jc w:val="both"/>
        <w:rPr>
          <w:color w:val="000000"/>
          <w:sz w:val="24"/>
          <w:szCs w:val="24"/>
        </w:rPr>
      </w:pPr>
      <w:r w:rsidRPr="00706953">
        <w:rPr>
          <w:color w:val="000000"/>
          <w:sz w:val="24"/>
          <w:szCs w:val="24"/>
        </w:rPr>
        <w:lastRenderedPageBreak/>
        <w:t xml:space="preserve">Dari hasil perhitungan diatas jumlah ROE pada tahun 2016 yang dicapai sebesar 29,21%, dari total ekuitas yang dioperasikan sebesar Rp.1.241.506.773. Perusahaan mampu menghasilkan laba bersih sebesar Rp.362.636.285. Artinya, setiap Rp.1 ekuitas turut berkontribusi menciptakan Rp.0,292 </w:t>
      </w:r>
      <w:r w:rsidRPr="00706953">
        <w:rPr>
          <w:color w:val="000000"/>
          <w:sz w:val="24"/>
          <w:szCs w:val="24"/>
        </w:rPr>
        <w:lastRenderedPageBreak/>
        <w:t>(dibulatkan Rp.0,29) laba bersih. Hasil ini menunjukkan bahwa tingkat pengembalian atas ekuitas mengalami penurunan sebesar 17,34% dari tahun sebelumnya. Ini menunjukkan ketidakmampuan manajemen untuk memperoleh ROE seiring dengan menurunnya ROA.</w:t>
      </w:r>
    </w:p>
    <w:p w:rsidR="0006085F" w:rsidRDefault="0006085F" w:rsidP="00706953">
      <w:pPr>
        <w:autoSpaceDE w:val="0"/>
        <w:autoSpaceDN w:val="0"/>
        <w:adjustRightInd w:val="0"/>
        <w:jc w:val="both"/>
        <w:rPr>
          <w:color w:val="000000"/>
          <w:sz w:val="24"/>
          <w:szCs w:val="24"/>
        </w:rPr>
        <w:sectPr w:rsidR="0006085F" w:rsidSect="0006085F">
          <w:type w:val="continuous"/>
          <w:pgSz w:w="11906" w:h="16838"/>
          <w:pgMar w:top="1418" w:right="1276" w:bottom="1418" w:left="1276" w:header="709" w:footer="1134" w:gutter="0"/>
          <w:cols w:num="2" w:space="510"/>
          <w:docGrid w:linePitch="360"/>
        </w:sectPr>
      </w:pPr>
    </w:p>
    <w:p w:rsidR="00706953" w:rsidRPr="00706953" w:rsidRDefault="00706953" w:rsidP="00706953">
      <w:pPr>
        <w:autoSpaceDE w:val="0"/>
        <w:autoSpaceDN w:val="0"/>
        <w:adjustRightInd w:val="0"/>
        <w:jc w:val="both"/>
        <w:rPr>
          <w:color w:val="000000"/>
          <w:sz w:val="24"/>
          <w:szCs w:val="24"/>
        </w:rPr>
      </w:pPr>
    </w:p>
    <w:p w:rsidR="00706953" w:rsidRPr="00706953" w:rsidRDefault="00706953" w:rsidP="00706953">
      <w:pPr>
        <w:autoSpaceDE w:val="0"/>
        <w:autoSpaceDN w:val="0"/>
        <w:adjustRightInd w:val="0"/>
        <w:rPr>
          <w:color w:val="000000"/>
          <w:sz w:val="24"/>
          <w:szCs w:val="24"/>
        </w:rPr>
      </w:pPr>
    </w:p>
    <w:p w:rsidR="00706953" w:rsidRPr="00706953" w:rsidRDefault="00706953" w:rsidP="00706953">
      <w:pPr>
        <w:autoSpaceDE w:val="0"/>
        <w:autoSpaceDN w:val="0"/>
        <w:adjustRightInd w:val="0"/>
        <w:rPr>
          <w:color w:val="000000"/>
          <w:sz w:val="24"/>
          <w:szCs w:val="24"/>
        </w:rPr>
      </w:pPr>
      <m:oMathPara>
        <m:oMath>
          <m:r>
            <w:rPr>
              <w:rFonts w:ascii="Cambria Math" w:hAnsi="Cambria Math"/>
              <w:color w:val="000000"/>
              <w:sz w:val="24"/>
              <w:szCs w:val="24"/>
            </w:rPr>
            <m:t xml:space="preserve">Return On Assets </m:t>
          </m:r>
          <m:d>
            <m:dPr>
              <m:ctrlPr>
                <w:rPr>
                  <w:rFonts w:ascii="Cambria Math" w:hAnsi="Cambria Math"/>
                  <w:i/>
                  <w:color w:val="000000"/>
                  <w:sz w:val="24"/>
                  <w:szCs w:val="24"/>
                </w:rPr>
              </m:ctrlPr>
            </m:dPr>
            <m:e>
              <m:r>
                <w:rPr>
                  <w:rFonts w:ascii="Cambria Math" w:hAnsi="Cambria Math"/>
                  <w:color w:val="000000"/>
                  <w:sz w:val="24"/>
                  <w:szCs w:val="24"/>
                </w:rPr>
                <m:t>ROA</m:t>
              </m:r>
            </m:e>
          </m:d>
          <m:r>
            <m:rPr>
              <m:sty m:val="p"/>
            </m:rPr>
            <w:rPr>
              <w:rFonts w:ascii="Cambria Math" w:hAnsi="Cambria Math"/>
              <w:color w:val="000000"/>
              <w:sz w:val="24"/>
              <w:szCs w:val="24"/>
            </w:rPr>
            <m:t xml:space="preserve"> tahun 2017=</m:t>
          </m:r>
          <m:f>
            <m:fPr>
              <m:ctrlPr>
                <w:rPr>
                  <w:rFonts w:ascii="Cambria Math" w:hAnsi="Cambria Math"/>
                  <w:i/>
                  <w:color w:val="000000"/>
                  <w:sz w:val="24"/>
                  <w:szCs w:val="24"/>
                </w:rPr>
              </m:ctrlPr>
            </m:fPr>
            <m:num>
              <m:r>
                <w:rPr>
                  <w:rFonts w:ascii="Cambria Math" w:hAnsi="Cambria Math"/>
                  <w:color w:val="000000"/>
                  <w:sz w:val="24"/>
                  <w:szCs w:val="24"/>
                </w:rPr>
                <m:t>1.556.167.053</m:t>
              </m:r>
            </m:num>
            <m:den>
              <m:r>
                <w:rPr>
                  <w:rFonts w:ascii="Cambria Math" w:hAnsi="Cambria Math"/>
                  <w:color w:val="000000"/>
                  <w:sz w:val="24"/>
                  <w:szCs w:val="24"/>
                </w:rPr>
                <m:t>2.797.673.826</m:t>
              </m:r>
            </m:den>
          </m:f>
          <m:r>
            <w:rPr>
              <w:rFonts w:ascii="Cambria Math" w:hAnsi="Cambria Math"/>
              <w:color w:val="000000"/>
              <w:sz w:val="24"/>
              <w:szCs w:val="24"/>
            </w:rPr>
            <m:t>x 100%=55.62%</m:t>
          </m:r>
        </m:oMath>
      </m:oMathPara>
    </w:p>
    <w:p w:rsidR="00706953" w:rsidRPr="00706953" w:rsidRDefault="00706953" w:rsidP="00706953">
      <w:pPr>
        <w:autoSpaceDE w:val="0"/>
        <w:autoSpaceDN w:val="0"/>
        <w:adjustRightInd w:val="0"/>
        <w:jc w:val="both"/>
        <w:rPr>
          <w:color w:val="000000"/>
          <w:sz w:val="24"/>
          <w:szCs w:val="24"/>
        </w:rPr>
      </w:pPr>
    </w:p>
    <w:p w:rsidR="0006085F" w:rsidRDefault="0006085F" w:rsidP="00706953">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06085F" w:rsidRDefault="00706953" w:rsidP="00706953">
      <w:pPr>
        <w:autoSpaceDE w:val="0"/>
        <w:autoSpaceDN w:val="0"/>
        <w:adjustRightInd w:val="0"/>
        <w:jc w:val="both"/>
        <w:rPr>
          <w:color w:val="000000"/>
          <w:sz w:val="24"/>
          <w:szCs w:val="24"/>
        </w:rPr>
        <w:sectPr w:rsidR="0006085F" w:rsidSect="0006085F">
          <w:type w:val="continuous"/>
          <w:pgSz w:w="11906" w:h="16838"/>
          <w:pgMar w:top="1418" w:right="1276" w:bottom="1418" w:left="1276" w:header="709" w:footer="1134" w:gutter="0"/>
          <w:cols w:num="2" w:space="510"/>
          <w:docGrid w:linePitch="360"/>
        </w:sectPr>
      </w:pPr>
      <w:r w:rsidRPr="00706953">
        <w:rPr>
          <w:color w:val="000000"/>
          <w:sz w:val="24"/>
          <w:szCs w:val="24"/>
        </w:rPr>
        <w:lastRenderedPageBreak/>
        <w:t xml:space="preserve">Dari hasil perhitungan diatas jumlah ROE pada tahun 2017 yang dicapai sebesar 55,62%, dari total ekuitas yang dioperasikan sebesar Rp.2.797.673.826 perusahaan mampu menghasilkan laba bersih sebesar Rp.1.556.167.053. Artinya, setiap Rp.1 ekuitas turut berkontribusi menciptakan Rp.0,556 (dibulatkan Rp.0,56) laba bersih. Hasil ini menunjukkan bahwa tingkat pengembalian atas ekuitas mengalami kenaikan sebesar 29,41% dari tahun sebelumnya. Dengan demikian telah terjadi </w:t>
      </w:r>
      <w:r w:rsidRPr="00706953">
        <w:rPr>
          <w:color w:val="000000"/>
          <w:sz w:val="24"/>
          <w:szCs w:val="24"/>
        </w:rPr>
        <w:lastRenderedPageBreak/>
        <w:t xml:space="preserve">peningkatan kinerja manajemen dalam menghasilkan laba bagi perusahaan. Berdasarkan hasil perhitungan diatas maka terlihat adanya perubahan </w:t>
      </w:r>
      <w:r w:rsidRPr="00706953">
        <w:rPr>
          <w:i/>
          <w:iCs/>
          <w:color w:val="000000"/>
          <w:sz w:val="24"/>
          <w:szCs w:val="24"/>
        </w:rPr>
        <w:t xml:space="preserve">Return On Equity </w:t>
      </w:r>
      <w:r w:rsidRPr="00706953">
        <w:rPr>
          <w:color w:val="000000"/>
          <w:sz w:val="24"/>
          <w:szCs w:val="24"/>
        </w:rPr>
        <w:t>(ROE) pada PT. Surya Eka Lestari Ogan Komering Ulu dari tahun 2013 sampai dengan tahun 2017. Untuk lebih mengetahui peningkatan dan penurunan yang terjadi pada Return On Equity (ROE) dari tahun 2013 sampai dengan tahun 2017 dapat dilihat pada grafik dan tabel di bawah ini :</w:t>
      </w:r>
    </w:p>
    <w:p w:rsidR="00706953" w:rsidRPr="00706953" w:rsidRDefault="00706953" w:rsidP="00706953">
      <w:pPr>
        <w:autoSpaceDE w:val="0"/>
        <w:autoSpaceDN w:val="0"/>
        <w:adjustRightInd w:val="0"/>
        <w:jc w:val="both"/>
        <w:rPr>
          <w:color w:val="000000"/>
          <w:sz w:val="24"/>
          <w:szCs w:val="24"/>
        </w:rPr>
      </w:pPr>
    </w:p>
    <w:p w:rsidR="00E62C1E" w:rsidRDefault="00E62C1E" w:rsidP="00E62C1E">
      <w:pPr>
        <w:autoSpaceDE w:val="0"/>
        <w:autoSpaceDN w:val="0"/>
        <w:adjustRightInd w:val="0"/>
        <w:rPr>
          <w:b/>
          <w:color w:val="000000"/>
        </w:rPr>
      </w:pPr>
    </w:p>
    <w:p w:rsidR="00E62C1E" w:rsidRPr="00437FC0" w:rsidRDefault="00E62C1E" w:rsidP="00E62C1E">
      <w:pPr>
        <w:autoSpaceDE w:val="0"/>
        <w:autoSpaceDN w:val="0"/>
        <w:adjustRightInd w:val="0"/>
        <w:jc w:val="center"/>
        <w:rPr>
          <w:b/>
          <w:color w:val="000000"/>
        </w:rPr>
      </w:pPr>
      <w:r w:rsidRPr="00A1711A">
        <w:rPr>
          <w:b/>
          <w:noProof/>
          <w:color w:val="000000"/>
        </w:rPr>
        <w:drawing>
          <wp:inline distT="0" distB="0" distL="0" distR="0" wp14:anchorId="7B1114C5" wp14:editId="5956C75F">
            <wp:extent cx="4803116" cy="2941608"/>
            <wp:effectExtent l="19050" t="0" r="16534"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135EC" w:rsidRDefault="00E135EC" w:rsidP="00E62C1E">
      <w:pPr>
        <w:autoSpaceDE w:val="0"/>
        <w:autoSpaceDN w:val="0"/>
        <w:adjustRightInd w:val="0"/>
        <w:jc w:val="center"/>
        <w:outlineLvl w:val="0"/>
        <w:rPr>
          <w:b/>
          <w:bCs/>
          <w:color w:val="000000"/>
        </w:rPr>
      </w:pPr>
    </w:p>
    <w:p w:rsidR="00E62C1E" w:rsidRPr="0095203F" w:rsidRDefault="00E62C1E" w:rsidP="00E62C1E">
      <w:pPr>
        <w:autoSpaceDE w:val="0"/>
        <w:autoSpaceDN w:val="0"/>
        <w:adjustRightInd w:val="0"/>
        <w:jc w:val="center"/>
        <w:outlineLvl w:val="0"/>
        <w:rPr>
          <w:b/>
          <w:bCs/>
          <w:color w:val="000000"/>
          <w:sz w:val="24"/>
        </w:rPr>
      </w:pPr>
      <w:r w:rsidRPr="0095203F">
        <w:rPr>
          <w:b/>
          <w:bCs/>
          <w:color w:val="000000"/>
          <w:sz w:val="24"/>
        </w:rPr>
        <w:t xml:space="preserve">Gambar 1 Grafik Perkembangan </w:t>
      </w:r>
      <w:r w:rsidRPr="0095203F">
        <w:rPr>
          <w:b/>
          <w:bCs/>
          <w:i/>
          <w:iCs/>
          <w:color w:val="000000"/>
          <w:sz w:val="24"/>
        </w:rPr>
        <w:t xml:space="preserve">Return On Equity </w:t>
      </w:r>
      <w:r w:rsidRPr="0095203F">
        <w:rPr>
          <w:b/>
          <w:bCs/>
          <w:color w:val="000000"/>
          <w:sz w:val="24"/>
        </w:rPr>
        <w:t>(ROE)</w:t>
      </w:r>
    </w:p>
    <w:p w:rsidR="00E62C1E" w:rsidRPr="0095203F" w:rsidRDefault="00E62C1E" w:rsidP="00E62C1E">
      <w:pPr>
        <w:autoSpaceDE w:val="0"/>
        <w:autoSpaceDN w:val="0"/>
        <w:adjustRightInd w:val="0"/>
        <w:rPr>
          <w:color w:val="000000"/>
          <w:sz w:val="24"/>
        </w:rPr>
      </w:pPr>
    </w:p>
    <w:p w:rsidR="00E62C1E" w:rsidRPr="0095203F" w:rsidRDefault="00E135EC" w:rsidP="00E135EC">
      <w:pPr>
        <w:autoSpaceDE w:val="0"/>
        <w:autoSpaceDN w:val="0"/>
        <w:adjustRightInd w:val="0"/>
        <w:jc w:val="center"/>
        <w:outlineLvl w:val="0"/>
        <w:rPr>
          <w:b/>
          <w:bCs/>
          <w:color w:val="000000"/>
          <w:sz w:val="24"/>
        </w:rPr>
      </w:pPr>
      <w:r w:rsidRPr="0095203F">
        <w:rPr>
          <w:b/>
          <w:bCs/>
          <w:color w:val="000000"/>
          <w:sz w:val="24"/>
        </w:rPr>
        <w:lastRenderedPageBreak/>
        <w:t xml:space="preserve">Tabel </w:t>
      </w:r>
      <w:r w:rsidR="00E62C1E" w:rsidRPr="0095203F">
        <w:rPr>
          <w:b/>
          <w:bCs/>
          <w:color w:val="000000"/>
          <w:sz w:val="24"/>
        </w:rPr>
        <w:t>3</w:t>
      </w:r>
      <w:r w:rsidRPr="0095203F">
        <w:rPr>
          <w:b/>
          <w:bCs/>
          <w:color w:val="000000"/>
          <w:sz w:val="24"/>
        </w:rPr>
        <w:t xml:space="preserve">. </w:t>
      </w:r>
      <w:r w:rsidR="00E62C1E" w:rsidRPr="0095203F">
        <w:rPr>
          <w:b/>
          <w:bCs/>
          <w:color w:val="000000"/>
          <w:sz w:val="24"/>
        </w:rPr>
        <w:t xml:space="preserve">Perkembangan </w:t>
      </w:r>
      <w:r w:rsidR="00E62C1E" w:rsidRPr="0095203F">
        <w:rPr>
          <w:b/>
          <w:bCs/>
          <w:i/>
          <w:iCs/>
          <w:color w:val="000000"/>
          <w:sz w:val="24"/>
        </w:rPr>
        <w:t xml:space="preserve">Return On Assets </w:t>
      </w:r>
      <w:r w:rsidR="00E62C1E" w:rsidRPr="0095203F">
        <w:rPr>
          <w:b/>
          <w:bCs/>
          <w:color w:val="000000"/>
          <w:sz w:val="24"/>
        </w:rPr>
        <w:t>(ROE)</w:t>
      </w:r>
    </w:p>
    <w:p w:rsidR="00E62C1E" w:rsidRPr="0095203F" w:rsidRDefault="00E62C1E" w:rsidP="00E62C1E">
      <w:pPr>
        <w:autoSpaceDE w:val="0"/>
        <w:autoSpaceDN w:val="0"/>
        <w:adjustRightInd w:val="0"/>
        <w:jc w:val="center"/>
        <w:outlineLvl w:val="0"/>
        <w:rPr>
          <w:b/>
          <w:bCs/>
          <w:color w:val="000000"/>
          <w:sz w:val="24"/>
        </w:rPr>
      </w:pPr>
      <w:r w:rsidRPr="0095203F">
        <w:rPr>
          <w:b/>
          <w:bCs/>
          <w:color w:val="000000"/>
          <w:sz w:val="24"/>
        </w:rPr>
        <w:t>PT. Surya Eka Lestari Ogan Komering Ulu</w:t>
      </w:r>
    </w:p>
    <w:p w:rsidR="00E62C1E" w:rsidRPr="0095203F" w:rsidRDefault="00E62C1E" w:rsidP="00E62C1E">
      <w:pPr>
        <w:autoSpaceDE w:val="0"/>
        <w:autoSpaceDN w:val="0"/>
        <w:adjustRightInd w:val="0"/>
        <w:jc w:val="center"/>
        <w:outlineLvl w:val="0"/>
        <w:rPr>
          <w:b/>
          <w:bCs/>
          <w:color w:val="000000"/>
          <w:sz w:val="24"/>
        </w:rPr>
      </w:pPr>
      <w:r w:rsidRPr="0095203F">
        <w:rPr>
          <w:b/>
          <w:bCs/>
          <w:color w:val="000000"/>
          <w:sz w:val="24"/>
        </w:rPr>
        <w:t>Tahun 2013-2017</w:t>
      </w:r>
    </w:p>
    <w:p w:rsidR="00E62C1E" w:rsidRDefault="00E62C1E" w:rsidP="00E62C1E">
      <w:pPr>
        <w:autoSpaceDE w:val="0"/>
        <w:autoSpaceDN w:val="0"/>
        <w:adjustRightInd w:val="0"/>
        <w:rPr>
          <w:b/>
          <w:bCs/>
          <w:color w:val="000000"/>
        </w:rPr>
      </w:pPr>
    </w:p>
    <w:tbl>
      <w:tblPr>
        <w:tblStyle w:val="TableGrid"/>
        <w:tblW w:w="9270" w:type="dxa"/>
        <w:tblInd w:w="198" w:type="dxa"/>
        <w:tblLook w:val="04A0" w:firstRow="1" w:lastRow="0" w:firstColumn="1" w:lastColumn="0" w:noHBand="0" w:noVBand="1"/>
      </w:tblPr>
      <w:tblGrid>
        <w:gridCol w:w="709"/>
        <w:gridCol w:w="3611"/>
        <w:gridCol w:w="2610"/>
        <w:gridCol w:w="2340"/>
      </w:tblGrid>
      <w:tr w:rsidR="00E62C1E" w:rsidRPr="0095203F" w:rsidTr="0095203F">
        <w:tc>
          <w:tcPr>
            <w:tcW w:w="709" w:type="dxa"/>
            <w:vMerge w:val="restart"/>
            <w:tcBorders>
              <w:top w:val="single" w:sz="4" w:space="0" w:color="auto"/>
              <w:left w:val="nil"/>
              <w:bottom w:val="nil"/>
              <w:right w:val="nil"/>
            </w:tcBorders>
            <w:vAlign w:val="center"/>
          </w:tcPr>
          <w:p w:rsidR="00E62C1E" w:rsidRPr="0095203F" w:rsidRDefault="00E62C1E" w:rsidP="001048E0">
            <w:pPr>
              <w:autoSpaceDE w:val="0"/>
              <w:autoSpaceDN w:val="0"/>
              <w:adjustRightInd w:val="0"/>
              <w:jc w:val="center"/>
              <w:rPr>
                <w:b/>
                <w:bCs/>
                <w:sz w:val="24"/>
              </w:rPr>
            </w:pPr>
            <w:r w:rsidRPr="0095203F">
              <w:rPr>
                <w:b/>
                <w:bCs/>
                <w:sz w:val="24"/>
              </w:rPr>
              <w:t>No.</w:t>
            </w:r>
          </w:p>
          <w:p w:rsidR="00E62C1E" w:rsidRPr="0095203F" w:rsidRDefault="00E62C1E" w:rsidP="001048E0">
            <w:pPr>
              <w:autoSpaceDE w:val="0"/>
              <w:autoSpaceDN w:val="0"/>
              <w:adjustRightInd w:val="0"/>
              <w:jc w:val="center"/>
              <w:rPr>
                <w:b/>
                <w:bCs/>
                <w:color w:val="000000"/>
                <w:sz w:val="24"/>
              </w:rPr>
            </w:pPr>
          </w:p>
        </w:tc>
        <w:tc>
          <w:tcPr>
            <w:tcW w:w="3611" w:type="dxa"/>
            <w:vMerge w:val="restart"/>
            <w:tcBorders>
              <w:top w:val="single" w:sz="4" w:space="0" w:color="auto"/>
              <w:left w:val="nil"/>
              <w:bottom w:val="nil"/>
              <w:right w:val="nil"/>
            </w:tcBorders>
            <w:vAlign w:val="center"/>
          </w:tcPr>
          <w:p w:rsidR="00E62C1E" w:rsidRPr="0095203F" w:rsidRDefault="00E62C1E" w:rsidP="001048E0">
            <w:pPr>
              <w:autoSpaceDE w:val="0"/>
              <w:autoSpaceDN w:val="0"/>
              <w:adjustRightInd w:val="0"/>
              <w:jc w:val="center"/>
              <w:rPr>
                <w:b/>
                <w:bCs/>
                <w:sz w:val="24"/>
              </w:rPr>
            </w:pPr>
            <w:r w:rsidRPr="0095203F">
              <w:rPr>
                <w:b/>
                <w:bCs/>
                <w:sz w:val="24"/>
              </w:rPr>
              <w:t>Tahun</w:t>
            </w:r>
          </w:p>
          <w:p w:rsidR="00E62C1E" w:rsidRPr="0095203F" w:rsidRDefault="00E62C1E" w:rsidP="001048E0">
            <w:pPr>
              <w:autoSpaceDE w:val="0"/>
              <w:autoSpaceDN w:val="0"/>
              <w:adjustRightInd w:val="0"/>
              <w:jc w:val="center"/>
              <w:rPr>
                <w:b/>
                <w:bCs/>
                <w:color w:val="000000"/>
                <w:sz w:val="24"/>
              </w:rPr>
            </w:pPr>
          </w:p>
        </w:tc>
        <w:tc>
          <w:tcPr>
            <w:tcW w:w="4950" w:type="dxa"/>
            <w:gridSpan w:val="2"/>
            <w:tcBorders>
              <w:top w:val="single" w:sz="4" w:space="0" w:color="auto"/>
              <w:left w:val="nil"/>
              <w:bottom w:val="single" w:sz="4" w:space="0" w:color="auto"/>
              <w:right w:val="nil"/>
            </w:tcBorders>
          </w:tcPr>
          <w:p w:rsidR="00E62C1E" w:rsidRPr="0095203F" w:rsidRDefault="00E62C1E" w:rsidP="001048E0">
            <w:pPr>
              <w:autoSpaceDE w:val="0"/>
              <w:autoSpaceDN w:val="0"/>
              <w:adjustRightInd w:val="0"/>
              <w:jc w:val="center"/>
              <w:rPr>
                <w:b/>
                <w:bCs/>
                <w:color w:val="000000"/>
                <w:sz w:val="24"/>
              </w:rPr>
            </w:pPr>
            <w:r w:rsidRPr="0095203F">
              <w:rPr>
                <w:b/>
                <w:bCs/>
                <w:color w:val="000000"/>
                <w:sz w:val="24"/>
              </w:rPr>
              <w:t>ROE</w:t>
            </w:r>
          </w:p>
        </w:tc>
      </w:tr>
      <w:tr w:rsidR="00E62C1E" w:rsidRPr="0095203F" w:rsidTr="0095203F">
        <w:tc>
          <w:tcPr>
            <w:tcW w:w="709" w:type="dxa"/>
            <w:vMerge/>
            <w:tcBorders>
              <w:top w:val="nil"/>
              <w:left w:val="nil"/>
              <w:bottom w:val="single" w:sz="4" w:space="0" w:color="auto"/>
              <w:right w:val="nil"/>
            </w:tcBorders>
          </w:tcPr>
          <w:p w:rsidR="00E62C1E" w:rsidRPr="0095203F" w:rsidRDefault="00E62C1E" w:rsidP="001048E0">
            <w:pPr>
              <w:autoSpaceDE w:val="0"/>
              <w:autoSpaceDN w:val="0"/>
              <w:adjustRightInd w:val="0"/>
              <w:jc w:val="center"/>
              <w:rPr>
                <w:b/>
                <w:bCs/>
                <w:color w:val="000000"/>
                <w:sz w:val="24"/>
              </w:rPr>
            </w:pPr>
          </w:p>
        </w:tc>
        <w:tc>
          <w:tcPr>
            <w:tcW w:w="3611" w:type="dxa"/>
            <w:vMerge/>
            <w:tcBorders>
              <w:top w:val="nil"/>
              <w:left w:val="nil"/>
              <w:bottom w:val="single" w:sz="4" w:space="0" w:color="auto"/>
              <w:right w:val="nil"/>
            </w:tcBorders>
          </w:tcPr>
          <w:p w:rsidR="00E62C1E" w:rsidRPr="0095203F" w:rsidRDefault="00E62C1E" w:rsidP="001048E0">
            <w:pPr>
              <w:autoSpaceDE w:val="0"/>
              <w:autoSpaceDN w:val="0"/>
              <w:adjustRightInd w:val="0"/>
              <w:jc w:val="center"/>
              <w:rPr>
                <w:b/>
                <w:bCs/>
                <w:color w:val="000000"/>
                <w:sz w:val="24"/>
              </w:rPr>
            </w:pPr>
          </w:p>
        </w:tc>
        <w:tc>
          <w:tcPr>
            <w:tcW w:w="2610" w:type="dxa"/>
            <w:tcBorders>
              <w:top w:val="single" w:sz="4" w:space="0" w:color="auto"/>
              <w:left w:val="nil"/>
              <w:bottom w:val="single" w:sz="4" w:space="0" w:color="auto"/>
              <w:right w:val="nil"/>
            </w:tcBorders>
          </w:tcPr>
          <w:p w:rsidR="00E62C1E" w:rsidRPr="0095203F" w:rsidRDefault="00E62C1E" w:rsidP="001048E0">
            <w:pPr>
              <w:autoSpaceDE w:val="0"/>
              <w:autoSpaceDN w:val="0"/>
              <w:adjustRightInd w:val="0"/>
              <w:jc w:val="center"/>
              <w:rPr>
                <w:b/>
                <w:bCs/>
                <w:color w:val="000000"/>
                <w:sz w:val="24"/>
              </w:rPr>
            </w:pPr>
            <w:r w:rsidRPr="0095203F">
              <w:rPr>
                <w:b/>
                <w:bCs/>
                <w:sz w:val="24"/>
              </w:rPr>
              <w:t>Real (%)</w:t>
            </w:r>
          </w:p>
        </w:tc>
        <w:tc>
          <w:tcPr>
            <w:tcW w:w="2340" w:type="dxa"/>
            <w:tcBorders>
              <w:top w:val="single" w:sz="4" w:space="0" w:color="auto"/>
              <w:left w:val="nil"/>
              <w:bottom w:val="single" w:sz="4" w:space="0" w:color="auto"/>
              <w:right w:val="nil"/>
            </w:tcBorders>
          </w:tcPr>
          <w:p w:rsidR="00E62C1E" w:rsidRPr="0095203F" w:rsidRDefault="00E62C1E" w:rsidP="001048E0">
            <w:pPr>
              <w:autoSpaceDE w:val="0"/>
              <w:autoSpaceDN w:val="0"/>
              <w:adjustRightInd w:val="0"/>
              <w:jc w:val="center"/>
              <w:rPr>
                <w:b/>
                <w:bCs/>
                <w:sz w:val="24"/>
              </w:rPr>
            </w:pPr>
            <w:r w:rsidRPr="0095203F">
              <w:rPr>
                <w:b/>
                <w:bCs/>
                <w:sz w:val="24"/>
              </w:rPr>
              <w:t>Naik/Turun</w:t>
            </w:r>
          </w:p>
        </w:tc>
      </w:tr>
      <w:tr w:rsidR="00E62C1E" w:rsidRPr="0095203F" w:rsidTr="0095203F">
        <w:tc>
          <w:tcPr>
            <w:tcW w:w="709" w:type="dxa"/>
            <w:tcBorders>
              <w:top w:val="single" w:sz="4" w:space="0" w:color="auto"/>
              <w:left w:val="nil"/>
              <w:bottom w:val="nil"/>
              <w:right w:val="nil"/>
            </w:tcBorders>
          </w:tcPr>
          <w:p w:rsidR="00E62C1E" w:rsidRPr="0095203F" w:rsidRDefault="00E62C1E" w:rsidP="001048E0">
            <w:pPr>
              <w:autoSpaceDE w:val="0"/>
              <w:autoSpaceDN w:val="0"/>
              <w:adjustRightInd w:val="0"/>
              <w:jc w:val="center"/>
              <w:rPr>
                <w:bCs/>
                <w:color w:val="000000"/>
                <w:sz w:val="24"/>
              </w:rPr>
            </w:pPr>
            <w:r w:rsidRPr="0095203F">
              <w:rPr>
                <w:bCs/>
                <w:color w:val="000000"/>
                <w:sz w:val="24"/>
              </w:rPr>
              <w:t>1.</w:t>
            </w:r>
          </w:p>
        </w:tc>
        <w:tc>
          <w:tcPr>
            <w:tcW w:w="3611" w:type="dxa"/>
            <w:tcBorders>
              <w:top w:val="single" w:sz="4" w:space="0" w:color="auto"/>
              <w:left w:val="nil"/>
              <w:bottom w:val="nil"/>
              <w:right w:val="nil"/>
            </w:tcBorders>
          </w:tcPr>
          <w:p w:rsidR="00E62C1E" w:rsidRPr="0095203F" w:rsidRDefault="00E62C1E" w:rsidP="001048E0">
            <w:pPr>
              <w:autoSpaceDE w:val="0"/>
              <w:autoSpaceDN w:val="0"/>
              <w:adjustRightInd w:val="0"/>
              <w:jc w:val="center"/>
              <w:rPr>
                <w:bCs/>
                <w:color w:val="000000"/>
                <w:sz w:val="24"/>
              </w:rPr>
            </w:pPr>
            <w:r w:rsidRPr="0095203F">
              <w:rPr>
                <w:bCs/>
                <w:color w:val="000000"/>
                <w:sz w:val="24"/>
              </w:rPr>
              <w:t>2013</w:t>
            </w:r>
          </w:p>
        </w:tc>
        <w:tc>
          <w:tcPr>
            <w:tcW w:w="2610" w:type="dxa"/>
            <w:tcBorders>
              <w:top w:val="single" w:sz="4" w:space="0" w:color="auto"/>
              <w:left w:val="nil"/>
              <w:bottom w:val="nil"/>
              <w:right w:val="nil"/>
            </w:tcBorders>
          </w:tcPr>
          <w:p w:rsidR="00E62C1E" w:rsidRPr="0095203F" w:rsidRDefault="00E62C1E" w:rsidP="001048E0">
            <w:pPr>
              <w:autoSpaceDE w:val="0"/>
              <w:autoSpaceDN w:val="0"/>
              <w:adjustRightInd w:val="0"/>
              <w:jc w:val="center"/>
              <w:rPr>
                <w:b/>
                <w:bCs/>
                <w:color w:val="000000"/>
                <w:sz w:val="24"/>
              </w:rPr>
            </w:pPr>
            <w:r w:rsidRPr="0095203F">
              <w:rPr>
                <w:color w:val="000000"/>
                <w:sz w:val="24"/>
              </w:rPr>
              <w:t>36,11%</w:t>
            </w:r>
          </w:p>
        </w:tc>
        <w:tc>
          <w:tcPr>
            <w:tcW w:w="2340" w:type="dxa"/>
            <w:tcBorders>
              <w:top w:val="single" w:sz="4" w:space="0" w:color="auto"/>
              <w:left w:val="nil"/>
              <w:bottom w:val="nil"/>
              <w:right w:val="nil"/>
            </w:tcBorders>
          </w:tcPr>
          <w:p w:rsidR="00E62C1E" w:rsidRPr="0095203F" w:rsidRDefault="00E62C1E" w:rsidP="001048E0">
            <w:pPr>
              <w:autoSpaceDE w:val="0"/>
              <w:autoSpaceDN w:val="0"/>
              <w:adjustRightInd w:val="0"/>
              <w:jc w:val="center"/>
              <w:rPr>
                <w:b/>
                <w:bCs/>
                <w:color w:val="000000"/>
                <w:sz w:val="24"/>
              </w:rPr>
            </w:pPr>
            <w:r w:rsidRPr="0095203F">
              <w:rPr>
                <w:b/>
                <w:bCs/>
                <w:color w:val="000000"/>
                <w:sz w:val="24"/>
              </w:rPr>
              <w:t>-</w:t>
            </w:r>
          </w:p>
        </w:tc>
      </w:tr>
      <w:tr w:rsidR="00E62C1E" w:rsidRPr="0095203F" w:rsidTr="0095203F">
        <w:tc>
          <w:tcPr>
            <w:tcW w:w="709" w:type="dxa"/>
            <w:tcBorders>
              <w:top w:val="nil"/>
              <w:left w:val="nil"/>
              <w:bottom w:val="nil"/>
              <w:right w:val="nil"/>
            </w:tcBorders>
          </w:tcPr>
          <w:p w:rsidR="00E62C1E" w:rsidRPr="0095203F" w:rsidRDefault="00E62C1E" w:rsidP="001048E0">
            <w:pPr>
              <w:autoSpaceDE w:val="0"/>
              <w:autoSpaceDN w:val="0"/>
              <w:adjustRightInd w:val="0"/>
              <w:jc w:val="center"/>
              <w:rPr>
                <w:bCs/>
                <w:color w:val="000000"/>
                <w:sz w:val="24"/>
              </w:rPr>
            </w:pPr>
            <w:r w:rsidRPr="0095203F">
              <w:rPr>
                <w:bCs/>
                <w:color w:val="000000"/>
                <w:sz w:val="24"/>
              </w:rPr>
              <w:t>2.</w:t>
            </w:r>
          </w:p>
        </w:tc>
        <w:tc>
          <w:tcPr>
            <w:tcW w:w="3611" w:type="dxa"/>
            <w:tcBorders>
              <w:top w:val="nil"/>
              <w:left w:val="nil"/>
              <w:bottom w:val="nil"/>
              <w:right w:val="nil"/>
            </w:tcBorders>
          </w:tcPr>
          <w:p w:rsidR="00E62C1E" w:rsidRPr="0095203F" w:rsidRDefault="00E62C1E" w:rsidP="001048E0">
            <w:pPr>
              <w:autoSpaceDE w:val="0"/>
              <w:autoSpaceDN w:val="0"/>
              <w:adjustRightInd w:val="0"/>
              <w:jc w:val="center"/>
              <w:rPr>
                <w:b/>
                <w:bCs/>
                <w:color w:val="000000"/>
                <w:sz w:val="24"/>
              </w:rPr>
            </w:pPr>
            <w:r w:rsidRPr="0095203F">
              <w:rPr>
                <w:bCs/>
                <w:color w:val="000000"/>
                <w:sz w:val="24"/>
              </w:rPr>
              <w:t>2014</w:t>
            </w:r>
          </w:p>
        </w:tc>
        <w:tc>
          <w:tcPr>
            <w:tcW w:w="2610" w:type="dxa"/>
            <w:tcBorders>
              <w:top w:val="nil"/>
              <w:left w:val="nil"/>
              <w:bottom w:val="nil"/>
              <w:right w:val="nil"/>
            </w:tcBorders>
          </w:tcPr>
          <w:p w:rsidR="00E62C1E" w:rsidRPr="0095203F" w:rsidRDefault="00E62C1E" w:rsidP="001048E0">
            <w:pPr>
              <w:autoSpaceDE w:val="0"/>
              <w:autoSpaceDN w:val="0"/>
              <w:adjustRightInd w:val="0"/>
              <w:jc w:val="center"/>
              <w:rPr>
                <w:b/>
                <w:bCs/>
                <w:color w:val="000000"/>
                <w:sz w:val="24"/>
              </w:rPr>
            </w:pPr>
            <w:r w:rsidRPr="0095203F">
              <w:rPr>
                <w:color w:val="000000"/>
                <w:sz w:val="24"/>
              </w:rPr>
              <w:t>50,02%</w:t>
            </w:r>
          </w:p>
        </w:tc>
        <w:tc>
          <w:tcPr>
            <w:tcW w:w="2340" w:type="dxa"/>
            <w:tcBorders>
              <w:top w:val="nil"/>
              <w:left w:val="nil"/>
              <w:bottom w:val="nil"/>
              <w:right w:val="nil"/>
            </w:tcBorders>
          </w:tcPr>
          <w:p w:rsidR="00E62C1E" w:rsidRPr="0095203F" w:rsidRDefault="00E62C1E" w:rsidP="001048E0">
            <w:pPr>
              <w:autoSpaceDE w:val="0"/>
              <w:autoSpaceDN w:val="0"/>
              <w:adjustRightInd w:val="0"/>
              <w:jc w:val="center"/>
              <w:rPr>
                <w:sz w:val="24"/>
              </w:rPr>
            </w:pPr>
            <w:r w:rsidRPr="0095203F">
              <w:rPr>
                <w:color w:val="000000"/>
                <w:sz w:val="24"/>
              </w:rPr>
              <w:t>13,91% (↑)</w:t>
            </w:r>
          </w:p>
        </w:tc>
      </w:tr>
      <w:tr w:rsidR="00E62C1E" w:rsidRPr="0095203F" w:rsidTr="0095203F">
        <w:tc>
          <w:tcPr>
            <w:tcW w:w="709" w:type="dxa"/>
            <w:tcBorders>
              <w:top w:val="nil"/>
              <w:left w:val="nil"/>
              <w:bottom w:val="nil"/>
              <w:right w:val="nil"/>
            </w:tcBorders>
          </w:tcPr>
          <w:p w:rsidR="00E62C1E" w:rsidRPr="0095203F" w:rsidRDefault="00E62C1E" w:rsidP="001048E0">
            <w:pPr>
              <w:autoSpaceDE w:val="0"/>
              <w:autoSpaceDN w:val="0"/>
              <w:adjustRightInd w:val="0"/>
              <w:jc w:val="center"/>
              <w:rPr>
                <w:bCs/>
                <w:color w:val="000000"/>
                <w:sz w:val="24"/>
              </w:rPr>
            </w:pPr>
            <w:r w:rsidRPr="0095203F">
              <w:rPr>
                <w:bCs/>
                <w:color w:val="000000"/>
                <w:sz w:val="24"/>
              </w:rPr>
              <w:t>3.</w:t>
            </w:r>
          </w:p>
        </w:tc>
        <w:tc>
          <w:tcPr>
            <w:tcW w:w="3611" w:type="dxa"/>
            <w:tcBorders>
              <w:top w:val="nil"/>
              <w:left w:val="nil"/>
              <w:bottom w:val="nil"/>
              <w:right w:val="nil"/>
            </w:tcBorders>
          </w:tcPr>
          <w:p w:rsidR="00E62C1E" w:rsidRPr="0095203F" w:rsidRDefault="00E62C1E" w:rsidP="001048E0">
            <w:pPr>
              <w:autoSpaceDE w:val="0"/>
              <w:autoSpaceDN w:val="0"/>
              <w:adjustRightInd w:val="0"/>
              <w:jc w:val="center"/>
              <w:rPr>
                <w:b/>
                <w:bCs/>
                <w:color w:val="000000"/>
                <w:sz w:val="24"/>
              </w:rPr>
            </w:pPr>
            <w:r w:rsidRPr="0095203F">
              <w:rPr>
                <w:bCs/>
                <w:color w:val="000000"/>
                <w:sz w:val="24"/>
              </w:rPr>
              <w:t>2015</w:t>
            </w:r>
          </w:p>
        </w:tc>
        <w:tc>
          <w:tcPr>
            <w:tcW w:w="2610" w:type="dxa"/>
            <w:tcBorders>
              <w:top w:val="nil"/>
              <w:left w:val="nil"/>
              <w:bottom w:val="nil"/>
              <w:right w:val="nil"/>
            </w:tcBorders>
          </w:tcPr>
          <w:p w:rsidR="00E62C1E" w:rsidRPr="0095203F" w:rsidRDefault="00E62C1E" w:rsidP="001048E0">
            <w:pPr>
              <w:autoSpaceDE w:val="0"/>
              <w:autoSpaceDN w:val="0"/>
              <w:adjustRightInd w:val="0"/>
              <w:jc w:val="center"/>
              <w:rPr>
                <w:bCs/>
                <w:color w:val="000000"/>
                <w:sz w:val="24"/>
              </w:rPr>
            </w:pPr>
            <w:r w:rsidRPr="0095203F">
              <w:rPr>
                <w:color w:val="000000"/>
                <w:sz w:val="24"/>
              </w:rPr>
              <w:t>46,55%</w:t>
            </w:r>
          </w:p>
        </w:tc>
        <w:tc>
          <w:tcPr>
            <w:tcW w:w="2340" w:type="dxa"/>
            <w:tcBorders>
              <w:top w:val="nil"/>
              <w:left w:val="nil"/>
              <w:bottom w:val="nil"/>
              <w:right w:val="nil"/>
            </w:tcBorders>
          </w:tcPr>
          <w:p w:rsidR="00E62C1E" w:rsidRPr="0095203F" w:rsidRDefault="00E62C1E" w:rsidP="001048E0">
            <w:pPr>
              <w:autoSpaceDE w:val="0"/>
              <w:autoSpaceDN w:val="0"/>
              <w:adjustRightInd w:val="0"/>
              <w:jc w:val="center"/>
              <w:rPr>
                <w:sz w:val="24"/>
              </w:rPr>
            </w:pPr>
            <w:r w:rsidRPr="0095203F">
              <w:rPr>
                <w:color w:val="000000"/>
                <w:sz w:val="24"/>
              </w:rPr>
              <w:t>3,47% (↓)</w:t>
            </w:r>
          </w:p>
        </w:tc>
      </w:tr>
      <w:tr w:rsidR="00E62C1E" w:rsidRPr="0095203F" w:rsidTr="0095203F">
        <w:tc>
          <w:tcPr>
            <w:tcW w:w="709" w:type="dxa"/>
            <w:tcBorders>
              <w:top w:val="nil"/>
              <w:left w:val="nil"/>
              <w:bottom w:val="nil"/>
              <w:right w:val="nil"/>
            </w:tcBorders>
          </w:tcPr>
          <w:p w:rsidR="00E62C1E" w:rsidRPr="0095203F" w:rsidRDefault="00E62C1E" w:rsidP="001048E0">
            <w:pPr>
              <w:autoSpaceDE w:val="0"/>
              <w:autoSpaceDN w:val="0"/>
              <w:adjustRightInd w:val="0"/>
              <w:jc w:val="center"/>
              <w:rPr>
                <w:bCs/>
                <w:color w:val="000000"/>
                <w:sz w:val="24"/>
              </w:rPr>
            </w:pPr>
            <w:r w:rsidRPr="0095203F">
              <w:rPr>
                <w:bCs/>
                <w:color w:val="000000"/>
                <w:sz w:val="24"/>
              </w:rPr>
              <w:t>4.</w:t>
            </w:r>
          </w:p>
        </w:tc>
        <w:tc>
          <w:tcPr>
            <w:tcW w:w="3611" w:type="dxa"/>
            <w:tcBorders>
              <w:top w:val="nil"/>
              <w:left w:val="nil"/>
              <w:bottom w:val="nil"/>
              <w:right w:val="nil"/>
            </w:tcBorders>
          </w:tcPr>
          <w:p w:rsidR="00E62C1E" w:rsidRPr="0095203F" w:rsidRDefault="00E62C1E" w:rsidP="001048E0">
            <w:pPr>
              <w:autoSpaceDE w:val="0"/>
              <w:autoSpaceDN w:val="0"/>
              <w:adjustRightInd w:val="0"/>
              <w:jc w:val="center"/>
              <w:rPr>
                <w:b/>
                <w:bCs/>
                <w:color w:val="000000"/>
                <w:sz w:val="24"/>
              </w:rPr>
            </w:pPr>
            <w:r w:rsidRPr="0095203F">
              <w:rPr>
                <w:bCs/>
                <w:color w:val="000000"/>
                <w:sz w:val="24"/>
              </w:rPr>
              <w:t>2016</w:t>
            </w:r>
          </w:p>
        </w:tc>
        <w:tc>
          <w:tcPr>
            <w:tcW w:w="2610" w:type="dxa"/>
            <w:tcBorders>
              <w:top w:val="nil"/>
              <w:left w:val="nil"/>
              <w:bottom w:val="nil"/>
              <w:right w:val="nil"/>
            </w:tcBorders>
          </w:tcPr>
          <w:p w:rsidR="00E62C1E" w:rsidRPr="0095203F" w:rsidRDefault="00E62C1E" w:rsidP="001048E0">
            <w:pPr>
              <w:autoSpaceDE w:val="0"/>
              <w:autoSpaceDN w:val="0"/>
              <w:adjustRightInd w:val="0"/>
              <w:jc w:val="center"/>
              <w:rPr>
                <w:b/>
                <w:bCs/>
                <w:color w:val="000000"/>
                <w:sz w:val="24"/>
              </w:rPr>
            </w:pPr>
            <w:r w:rsidRPr="0095203F">
              <w:rPr>
                <w:color w:val="000000"/>
                <w:sz w:val="24"/>
              </w:rPr>
              <w:t>29,21%</w:t>
            </w:r>
          </w:p>
        </w:tc>
        <w:tc>
          <w:tcPr>
            <w:tcW w:w="2340" w:type="dxa"/>
            <w:tcBorders>
              <w:top w:val="nil"/>
              <w:left w:val="nil"/>
              <w:bottom w:val="nil"/>
              <w:right w:val="nil"/>
            </w:tcBorders>
          </w:tcPr>
          <w:p w:rsidR="00E62C1E" w:rsidRPr="0095203F" w:rsidRDefault="00E62C1E" w:rsidP="001048E0">
            <w:pPr>
              <w:autoSpaceDE w:val="0"/>
              <w:autoSpaceDN w:val="0"/>
              <w:adjustRightInd w:val="0"/>
              <w:jc w:val="center"/>
              <w:rPr>
                <w:sz w:val="24"/>
              </w:rPr>
            </w:pPr>
            <w:r w:rsidRPr="0095203F">
              <w:rPr>
                <w:color w:val="000000"/>
                <w:sz w:val="24"/>
              </w:rPr>
              <w:t>17,34% (↓)</w:t>
            </w:r>
          </w:p>
        </w:tc>
      </w:tr>
      <w:tr w:rsidR="00E62C1E" w:rsidRPr="0095203F" w:rsidTr="0095203F">
        <w:tc>
          <w:tcPr>
            <w:tcW w:w="709" w:type="dxa"/>
            <w:tcBorders>
              <w:top w:val="nil"/>
              <w:left w:val="nil"/>
              <w:bottom w:val="nil"/>
              <w:right w:val="nil"/>
            </w:tcBorders>
          </w:tcPr>
          <w:p w:rsidR="00E62C1E" w:rsidRPr="0095203F" w:rsidRDefault="00E62C1E" w:rsidP="001048E0">
            <w:pPr>
              <w:autoSpaceDE w:val="0"/>
              <w:autoSpaceDN w:val="0"/>
              <w:adjustRightInd w:val="0"/>
              <w:jc w:val="center"/>
              <w:rPr>
                <w:bCs/>
                <w:color w:val="000000"/>
                <w:sz w:val="24"/>
              </w:rPr>
            </w:pPr>
            <w:r w:rsidRPr="0095203F">
              <w:rPr>
                <w:bCs/>
                <w:color w:val="000000"/>
                <w:sz w:val="24"/>
              </w:rPr>
              <w:t>5.</w:t>
            </w:r>
          </w:p>
        </w:tc>
        <w:tc>
          <w:tcPr>
            <w:tcW w:w="3611" w:type="dxa"/>
            <w:tcBorders>
              <w:top w:val="nil"/>
              <w:left w:val="nil"/>
              <w:bottom w:val="nil"/>
              <w:right w:val="nil"/>
            </w:tcBorders>
          </w:tcPr>
          <w:p w:rsidR="00E62C1E" w:rsidRPr="0095203F" w:rsidRDefault="00E62C1E" w:rsidP="001048E0">
            <w:pPr>
              <w:autoSpaceDE w:val="0"/>
              <w:autoSpaceDN w:val="0"/>
              <w:adjustRightInd w:val="0"/>
              <w:jc w:val="center"/>
              <w:rPr>
                <w:b/>
                <w:bCs/>
                <w:color w:val="000000"/>
                <w:sz w:val="24"/>
              </w:rPr>
            </w:pPr>
            <w:r w:rsidRPr="0095203F">
              <w:rPr>
                <w:bCs/>
                <w:color w:val="000000"/>
                <w:sz w:val="24"/>
              </w:rPr>
              <w:t>2017</w:t>
            </w:r>
          </w:p>
        </w:tc>
        <w:tc>
          <w:tcPr>
            <w:tcW w:w="2610" w:type="dxa"/>
            <w:tcBorders>
              <w:top w:val="nil"/>
              <w:left w:val="nil"/>
              <w:bottom w:val="nil"/>
              <w:right w:val="nil"/>
            </w:tcBorders>
          </w:tcPr>
          <w:p w:rsidR="00E62C1E" w:rsidRPr="0095203F" w:rsidRDefault="00E62C1E" w:rsidP="001048E0">
            <w:pPr>
              <w:autoSpaceDE w:val="0"/>
              <w:autoSpaceDN w:val="0"/>
              <w:adjustRightInd w:val="0"/>
              <w:jc w:val="center"/>
              <w:rPr>
                <w:b/>
                <w:bCs/>
                <w:color w:val="000000"/>
                <w:sz w:val="24"/>
              </w:rPr>
            </w:pPr>
            <w:r w:rsidRPr="0095203F">
              <w:rPr>
                <w:color w:val="000000"/>
                <w:sz w:val="24"/>
              </w:rPr>
              <w:t>55,62%</w:t>
            </w:r>
          </w:p>
        </w:tc>
        <w:tc>
          <w:tcPr>
            <w:tcW w:w="2340" w:type="dxa"/>
            <w:tcBorders>
              <w:top w:val="nil"/>
              <w:left w:val="nil"/>
              <w:bottom w:val="nil"/>
              <w:right w:val="nil"/>
            </w:tcBorders>
          </w:tcPr>
          <w:p w:rsidR="00E62C1E" w:rsidRPr="0095203F" w:rsidRDefault="00E62C1E" w:rsidP="001048E0">
            <w:pPr>
              <w:autoSpaceDE w:val="0"/>
              <w:autoSpaceDN w:val="0"/>
              <w:adjustRightInd w:val="0"/>
              <w:jc w:val="center"/>
              <w:rPr>
                <w:color w:val="000000"/>
                <w:sz w:val="24"/>
              </w:rPr>
            </w:pPr>
            <w:r w:rsidRPr="0095203F">
              <w:rPr>
                <w:color w:val="000000"/>
                <w:sz w:val="24"/>
              </w:rPr>
              <w:t>29,41% (↑)</w:t>
            </w:r>
          </w:p>
        </w:tc>
      </w:tr>
      <w:tr w:rsidR="00E62C1E" w:rsidRPr="0095203F" w:rsidTr="0095203F">
        <w:tc>
          <w:tcPr>
            <w:tcW w:w="4320" w:type="dxa"/>
            <w:gridSpan w:val="2"/>
            <w:tcBorders>
              <w:top w:val="nil"/>
              <w:left w:val="nil"/>
              <w:bottom w:val="single" w:sz="4" w:space="0" w:color="auto"/>
              <w:right w:val="nil"/>
            </w:tcBorders>
          </w:tcPr>
          <w:p w:rsidR="00E62C1E" w:rsidRPr="0095203F" w:rsidRDefault="00E62C1E" w:rsidP="001048E0">
            <w:pPr>
              <w:autoSpaceDE w:val="0"/>
              <w:autoSpaceDN w:val="0"/>
              <w:adjustRightInd w:val="0"/>
              <w:jc w:val="center"/>
              <w:rPr>
                <w:sz w:val="24"/>
              </w:rPr>
            </w:pPr>
            <w:r w:rsidRPr="0095203F">
              <w:rPr>
                <w:b/>
                <w:bCs/>
                <w:sz w:val="24"/>
              </w:rPr>
              <w:t>Rata-rata</w:t>
            </w:r>
          </w:p>
        </w:tc>
        <w:tc>
          <w:tcPr>
            <w:tcW w:w="2610" w:type="dxa"/>
            <w:tcBorders>
              <w:top w:val="nil"/>
              <w:left w:val="nil"/>
              <w:bottom w:val="single" w:sz="4" w:space="0" w:color="auto"/>
              <w:right w:val="nil"/>
            </w:tcBorders>
          </w:tcPr>
          <w:p w:rsidR="00E62C1E" w:rsidRPr="0095203F" w:rsidRDefault="00E62C1E" w:rsidP="001048E0">
            <w:pPr>
              <w:autoSpaceDE w:val="0"/>
              <w:autoSpaceDN w:val="0"/>
              <w:adjustRightInd w:val="0"/>
              <w:jc w:val="center"/>
              <w:rPr>
                <w:b/>
                <w:bCs/>
                <w:color w:val="000000"/>
                <w:sz w:val="24"/>
              </w:rPr>
            </w:pPr>
            <w:r w:rsidRPr="0095203F">
              <w:rPr>
                <w:b/>
                <w:bCs/>
                <w:color w:val="000000"/>
                <w:sz w:val="24"/>
              </w:rPr>
              <w:t>43,50%</w:t>
            </w:r>
          </w:p>
        </w:tc>
        <w:tc>
          <w:tcPr>
            <w:tcW w:w="2340" w:type="dxa"/>
            <w:tcBorders>
              <w:top w:val="nil"/>
              <w:left w:val="nil"/>
              <w:bottom w:val="single" w:sz="4" w:space="0" w:color="auto"/>
              <w:right w:val="nil"/>
            </w:tcBorders>
          </w:tcPr>
          <w:p w:rsidR="00E62C1E" w:rsidRPr="0095203F" w:rsidRDefault="00E62C1E" w:rsidP="001048E0">
            <w:pPr>
              <w:autoSpaceDE w:val="0"/>
              <w:autoSpaceDN w:val="0"/>
              <w:adjustRightInd w:val="0"/>
              <w:jc w:val="center"/>
              <w:rPr>
                <w:b/>
                <w:bCs/>
                <w:color w:val="000000"/>
                <w:sz w:val="24"/>
              </w:rPr>
            </w:pPr>
            <w:r w:rsidRPr="0095203F">
              <w:rPr>
                <w:b/>
                <w:bCs/>
                <w:color w:val="000000"/>
                <w:sz w:val="24"/>
              </w:rPr>
              <w:t>-</w:t>
            </w:r>
          </w:p>
        </w:tc>
      </w:tr>
    </w:tbl>
    <w:p w:rsidR="00E135EC" w:rsidRPr="0095203F" w:rsidRDefault="00E135EC" w:rsidP="0095203F">
      <w:pPr>
        <w:autoSpaceDE w:val="0"/>
        <w:autoSpaceDN w:val="0"/>
        <w:adjustRightInd w:val="0"/>
        <w:jc w:val="both"/>
        <w:rPr>
          <w:color w:val="000000"/>
          <w:sz w:val="24"/>
        </w:rPr>
      </w:pPr>
      <w:r w:rsidRPr="0095203F">
        <w:rPr>
          <w:rFonts w:asciiTheme="majorBidi" w:hAnsiTheme="majorBidi" w:cstheme="majorBidi"/>
          <w:b/>
          <w:i/>
          <w:sz w:val="24"/>
          <w:lang w:val="id-ID"/>
        </w:rPr>
        <w:t xml:space="preserve">Sumber: </w:t>
      </w:r>
      <w:r w:rsidRPr="0095203F">
        <w:rPr>
          <w:b/>
          <w:i/>
          <w:iCs/>
          <w:sz w:val="24"/>
        </w:rPr>
        <w:t>Laporan Keuangan PT. Surya Eka Lestari Ogan Komering Ulu</w:t>
      </w:r>
    </w:p>
    <w:p w:rsidR="00B90DE8" w:rsidRPr="00E956CA" w:rsidRDefault="00B90DE8" w:rsidP="00627912">
      <w:pPr>
        <w:pStyle w:val="ListParagraph"/>
        <w:spacing w:after="0" w:line="240" w:lineRule="auto"/>
        <w:ind w:left="0"/>
        <w:jc w:val="center"/>
        <w:rPr>
          <w:rFonts w:ascii="Times New Roman" w:hAnsi="Times New Roman"/>
          <w:b/>
          <w:color w:val="000000" w:themeColor="text1"/>
          <w:sz w:val="24"/>
          <w:szCs w:val="24"/>
          <w:lang w:val="en-US"/>
        </w:rPr>
      </w:pPr>
    </w:p>
    <w:p w:rsidR="0006085F" w:rsidRDefault="0006085F" w:rsidP="0006085F">
      <w:pPr>
        <w:autoSpaceDE w:val="0"/>
        <w:autoSpaceDN w:val="0"/>
        <w:adjustRightInd w:val="0"/>
        <w:jc w:val="both"/>
        <w:rPr>
          <w:color w:val="000000"/>
          <w:sz w:val="24"/>
          <w:szCs w:val="24"/>
        </w:rPr>
        <w:sectPr w:rsidR="0006085F" w:rsidSect="00627912">
          <w:type w:val="continuous"/>
          <w:pgSz w:w="11906" w:h="16838"/>
          <w:pgMar w:top="1418" w:right="1276" w:bottom="1418" w:left="1276" w:header="709" w:footer="1134" w:gutter="0"/>
          <w:cols w:space="510"/>
          <w:docGrid w:linePitch="360"/>
        </w:sectPr>
      </w:pPr>
    </w:p>
    <w:p w:rsidR="0006085F" w:rsidRDefault="001F438E" w:rsidP="0006085F">
      <w:pPr>
        <w:autoSpaceDE w:val="0"/>
        <w:autoSpaceDN w:val="0"/>
        <w:adjustRightInd w:val="0"/>
        <w:jc w:val="both"/>
        <w:rPr>
          <w:color w:val="000000"/>
          <w:sz w:val="24"/>
          <w:szCs w:val="24"/>
        </w:rPr>
      </w:pPr>
      <w:r w:rsidRPr="001F438E">
        <w:rPr>
          <w:color w:val="000000"/>
          <w:sz w:val="24"/>
          <w:szCs w:val="24"/>
        </w:rPr>
        <w:lastRenderedPageBreak/>
        <w:t xml:space="preserve">Berdasarkan hasil perhitungan </w:t>
      </w:r>
      <w:r w:rsidRPr="001F438E">
        <w:rPr>
          <w:i/>
          <w:iCs/>
          <w:color w:val="000000"/>
          <w:sz w:val="24"/>
          <w:szCs w:val="24"/>
        </w:rPr>
        <w:t xml:space="preserve">Return On Equity </w:t>
      </w:r>
      <w:r w:rsidRPr="001F438E">
        <w:rPr>
          <w:color w:val="000000"/>
          <w:sz w:val="24"/>
          <w:szCs w:val="24"/>
        </w:rPr>
        <w:t xml:space="preserve">(ROE) selama lima tahun yaitu tahun 2013 sampai 2017 PT. Surya Eka Lestari Ogan Komering Ulu mengalami fluktuasi (penurunan dan peningkatan) setiap tahunnya. Dari total ekuitas yang digunakan oleh perusahaan secara rata-rata mampu menghasilkan laba bersih sebesar 43,50%, nilai tertinggi dicapai pada tahun 2017 sebesar 55,62% dan nilai terendah dicapai pada tahun 2016 sebesar 29,21%. Namun </w:t>
      </w:r>
      <w:r w:rsidRPr="001F438E">
        <w:rPr>
          <w:i/>
          <w:iCs/>
          <w:color w:val="000000"/>
          <w:sz w:val="24"/>
          <w:szCs w:val="24"/>
        </w:rPr>
        <w:t xml:space="preserve">Return On Equity </w:t>
      </w:r>
      <w:r w:rsidRPr="001F438E">
        <w:rPr>
          <w:color w:val="000000"/>
          <w:sz w:val="24"/>
          <w:szCs w:val="24"/>
        </w:rPr>
        <w:t>(ROE) selama tahun 2013 sampai dengan 2017 lebih besar dari standar rata-rata industri yang ditetapkan sebesar 40% maka rasio yang dicapai PT. Surya Eka Lestari Ogan Komering Ulu menunjukka</w:t>
      </w:r>
      <w:r w:rsidR="0006085F">
        <w:rPr>
          <w:color w:val="000000"/>
          <w:sz w:val="24"/>
          <w:szCs w:val="24"/>
        </w:rPr>
        <w:t>n kondisi perusahaan CUKUP BAIK.</w:t>
      </w:r>
    </w:p>
    <w:p w:rsidR="0006085F" w:rsidRDefault="0006085F" w:rsidP="0006085F">
      <w:pPr>
        <w:autoSpaceDE w:val="0"/>
        <w:autoSpaceDN w:val="0"/>
        <w:adjustRightInd w:val="0"/>
        <w:jc w:val="both"/>
        <w:rPr>
          <w:color w:val="000000"/>
          <w:sz w:val="24"/>
          <w:szCs w:val="24"/>
        </w:rPr>
      </w:pPr>
    </w:p>
    <w:p w:rsidR="00627912" w:rsidRPr="00627912" w:rsidRDefault="00500E8B" w:rsidP="0006085F">
      <w:pPr>
        <w:autoSpaceDE w:val="0"/>
        <w:autoSpaceDN w:val="0"/>
        <w:adjustRightInd w:val="0"/>
        <w:jc w:val="both"/>
        <w:rPr>
          <w:b/>
          <w:bCs/>
          <w:color w:val="000000" w:themeColor="text1"/>
          <w:sz w:val="28"/>
          <w:szCs w:val="24"/>
          <w:lang w:val="id-ID"/>
        </w:rPr>
      </w:pPr>
      <w:r w:rsidRPr="00627912">
        <w:rPr>
          <w:b/>
          <w:bCs/>
          <w:color w:val="000000" w:themeColor="text1"/>
          <w:sz w:val="28"/>
          <w:szCs w:val="24"/>
          <w:lang w:val="id-ID"/>
        </w:rPr>
        <w:t>Simpulan Dan Saran</w:t>
      </w:r>
    </w:p>
    <w:p w:rsidR="00626E5A" w:rsidRDefault="00626E5A" w:rsidP="0095203F">
      <w:pPr>
        <w:autoSpaceDE w:val="0"/>
        <w:autoSpaceDN w:val="0"/>
        <w:adjustRightInd w:val="0"/>
        <w:jc w:val="both"/>
        <w:rPr>
          <w:sz w:val="24"/>
          <w:szCs w:val="24"/>
        </w:rPr>
      </w:pPr>
      <w:r w:rsidRPr="00626E5A">
        <w:rPr>
          <w:sz w:val="24"/>
          <w:szCs w:val="24"/>
        </w:rPr>
        <w:t xml:space="preserve">Rasio </w:t>
      </w:r>
      <w:r w:rsidRPr="00626E5A">
        <w:rPr>
          <w:i/>
          <w:iCs/>
          <w:sz w:val="24"/>
          <w:szCs w:val="24"/>
        </w:rPr>
        <w:t xml:space="preserve">Return On Assets </w:t>
      </w:r>
      <w:r w:rsidRPr="00626E5A">
        <w:rPr>
          <w:sz w:val="24"/>
          <w:szCs w:val="24"/>
        </w:rPr>
        <w:t xml:space="preserve">(ROA) yang terjadi pada PT. Surya Eka Lestari Ogan komering Ulu pada tahun 2013 sampai dengan 2017 mengalami fluktuasi (peningkatan dan penurunan) setiap tahunnya. ROA pada tahun 2013 sebesar 28,67%, tahun 2014 sebesar 40,96%, tahun 2015 sebesar 22,49%, tahun 2016 sebesar 13,97% dan tahun 2017 sebesar 48,26%. Rasio yang dicapai PT. Surya Eka Lestari Ogan komering Ulu dikategorikan dalam kelompok SEHAT. Semakin tinggi hasil pengembalian atas aset yang dihasilkan maka semakin tinggi jumlah laba bersih yang dihasilkan dari setiap dana yang tertanam dalam total aset tersebut. </w:t>
      </w:r>
    </w:p>
    <w:p w:rsidR="0095203F" w:rsidRDefault="0095203F" w:rsidP="0095203F">
      <w:pPr>
        <w:autoSpaceDE w:val="0"/>
        <w:autoSpaceDN w:val="0"/>
        <w:adjustRightInd w:val="0"/>
        <w:jc w:val="both"/>
        <w:rPr>
          <w:sz w:val="24"/>
          <w:szCs w:val="24"/>
        </w:rPr>
      </w:pPr>
    </w:p>
    <w:p w:rsidR="00626E5A" w:rsidRDefault="00626E5A" w:rsidP="0095203F">
      <w:pPr>
        <w:autoSpaceDE w:val="0"/>
        <w:autoSpaceDN w:val="0"/>
        <w:adjustRightInd w:val="0"/>
        <w:jc w:val="both"/>
        <w:rPr>
          <w:sz w:val="24"/>
          <w:szCs w:val="24"/>
        </w:rPr>
      </w:pPr>
      <w:r w:rsidRPr="00626E5A">
        <w:rPr>
          <w:sz w:val="24"/>
          <w:szCs w:val="24"/>
        </w:rPr>
        <w:lastRenderedPageBreak/>
        <w:t xml:space="preserve">Rasio </w:t>
      </w:r>
      <w:r w:rsidRPr="00626E5A">
        <w:rPr>
          <w:i/>
          <w:iCs/>
          <w:sz w:val="24"/>
          <w:szCs w:val="24"/>
        </w:rPr>
        <w:t xml:space="preserve">Return On Equity </w:t>
      </w:r>
      <w:r w:rsidRPr="00626E5A">
        <w:rPr>
          <w:sz w:val="24"/>
          <w:szCs w:val="24"/>
        </w:rPr>
        <w:t xml:space="preserve">(ROE) pada PT. Surya Eka Lestari Ogan komering Ulu pada tahun 2013 sebesar 36,11%, tahun 2014 sebesar 50,02%, tahun 2015 sebesar 46,55%, tahun 2016 sebesar 29,21%, tahun 2017 sebesar 55,62%, Rasio yang dicapai PT. Surya Eka Lestari Ogan komering Ulu menunjukkan kondisi perusahaan CUKUP BAIK. Semakin tinggi </w:t>
      </w:r>
      <w:r w:rsidRPr="00626E5A">
        <w:rPr>
          <w:i/>
          <w:iCs/>
          <w:sz w:val="24"/>
          <w:szCs w:val="24"/>
        </w:rPr>
        <w:t>return</w:t>
      </w:r>
      <w:r w:rsidRPr="00626E5A">
        <w:rPr>
          <w:sz w:val="24"/>
          <w:szCs w:val="24"/>
        </w:rPr>
        <w:t xml:space="preserve"> maka semakin baik karena deviden yang dibagikan atau diinvestasikan kembali sebagai </w:t>
      </w:r>
      <w:r w:rsidRPr="00626E5A">
        <w:rPr>
          <w:i/>
          <w:iCs/>
          <w:sz w:val="24"/>
          <w:szCs w:val="24"/>
        </w:rPr>
        <w:t xml:space="preserve">retained earnings </w:t>
      </w:r>
      <w:r w:rsidRPr="00626E5A">
        <w:rPr>
          <w:sz w:val="24"/>
          <w:szCs w:val="24"/>
        </w:rPr>
        <w:t>semakin besar.</w:t>
      </w:r>
    </w:p>
    <w:p w:rsidR="00626E5A" w:rsidRPr="00626E5A" w:rsidRDefault="00626E5A" w:rsidP="0095203F">
      <w:pPr>
        <w:autoSpaceDE w:val="0"/>
        <w:autoSpaceDN w:val="0"/>
        <w:adjustRightInd w:val="0"/>
        <w:jc w:val="both"/>
        <w:rPr>
          <w:sz w:val="24"/>
          <w:szCs w:val="24"/>
        </w:rPr>
      </w:pPr>
      <w:r w:rsidRPr="00626E5A">
        <w:rPr>
          <w:sz w:val="24"/>
          <w:szCs w:val="24"/>
        </w:rPr>
        <w:t xml:space="preserve">Perusahaan diharapkan dapat mengontrol aktivitas penjualan yang belum optimal seperti piutang. Perusahaan dapat melakukan tindakan penagihan secara terus-menerus, menentukan kebijakan kredit yang lebih ketat atau bahkan menambah karyawan baru yang bertugas khusus dalam mengendalikan piutang seperti </w:t>
      </w:r>
      <w:r w:rsidRPr="00626E5A">
        <w:rPr>
          <w:i/>
          <w:iCs/>
          <w:sz w:val="24"/>
          <w:szCs w:val="24"/>
        </w:rPr>
        <w:t xml:space="preserve">Account Receivable Staff </w:t>
      </w:r>
      <w:r w:rsidRPr="00626E5A">
        <w:rPr>
          <w:sz w:val="24"/>
          <w:szCs w:val="24"/>
        </w:rPr>
        <w:t>(Admin Piutang).</w:t>
      </w:r>
    </w:p>
    <w:p w:rsidR="0095203F" w:rsidRDefault="0095203F" w:rsidP="0095203F">
      <w:pPr>
        <w:autoSpaceDE w:val="0"/>
        <w:autoSpaceDN w:val="0"/>
        <w:adjustRightInd w:val="0"/>
        <w:jc w:val="both"/>
        <w:rPr>
          <w:sz w:val="24"/>
          <w:szCs w:val="24"/>
        </w:rPr>
      </w:pPr>
    </w:p>
    <w:p w:rsidR="00626E5A" w:rsidRPr="00626E5A" w:rsidRDefault="00626E5A" w:rsidP="0095203F">
      <w:pPr>
        <w:autoSpaceDE w:val="0"/>
        <w:autoSpaceDN w:val="0"/>
        <w:adjustRightInd w:val="0"/>
        <w:jc w:val="both"/>
        <w:rPr>
          <w:sz w:val="24"/>
          <w:szCs w:val="24"/>
        </w:rPr>
      </w:pPr>
      <w:r>
        <w:rPr>
          <w:sz w:val="24"/>
          <w:szCs w:val="24"/>
        </w:rPr>
        <w:t>Perusa</w:t>
      </w:r>
      <w:r w:rsidRPr="00626E5A">
        <w:rPr>
          <w:sz w:val="24"/>
          <w:szCs w:val="24"/>
        </w:rPr>
        <w:t>haan harusnya dapat meninjau ulang keberadaan aset tetap yang dimilikinya, apakah terlalu kebesaran nilainya atau memang belum dimanfaatkan secara maksimal bagi peningkatan pendapatan perusahaan. Dan perusahaan sebaiknya dapat melakukan efisiensi atas beban operasional serta beban-beban lainnya yang terlalu besar.</w:t>
      </w:r>
    </w:p>
    <w:p w:rsidR="00626E5A" w:rsidRDefault="00626E5A" w:rsidP="00627912">
      <w:pPr>
        <w:spacing w:line="276" w:lineRule="auto"/>
        <w:jc w:val="both"/>
        <w:rPr>
          <w:b/>
          <w:bCs/>
          <w:color w:val="000000" w:themeColor="text1"/>
          <w:sz w:val="28"/>
          <w:szCs w:val="24"/>
        </w:rPr>
      </w:pPr>
    </w:p>
    <w:p w:rsidR="00627912" w:rsidRPr="00627912" w:rsidRDefault="00500E8B" w:rsidP="00627912">
      <w:pPr>
        <w:spacing w:line="276" w:lineRule="auto"/>
        <w:jc w:val="both"/>
        <w:rPr>
          <w:b/>
          <w:bCs/>
          <w:color w:val="000000" w:themeColor="text1"/>
          <w:sz w:val="28"/>
          <w:szCs w:val="24"/>
          <w:lang w:val="id-ID"/>
        </w:rPr>
      </w:pPr>
      <w:r w:rsidRPr="00627912">
        <w:rPr>
          <w:b/>
          <w:bCs/>
          <w:color w:val="000000" w:themeColor="text1"/>
          <w:sz w:val="28"/>
          <w:szCs w:val="24"/>
          <w:lang w:val="id-ID"/>
        </w:rPr>
        <w:t>Daftar Pustaka</w:t>
      </w:r>
    </w:p>
    <w:p w:rsidR="005F6221" w:rsidRPr="005F6221" w:rsidRDefault="00500E8B" w:rsidP="005F6221">
      <w:pPr>
        <w:pStyle w:val="NoSpacing"/>
        <w:ind w:left="567" w:hanging="567"/>
        <w:jc w:val="both"/>
        <w:rPr>
          <w:rFonts w:asciiTheme="majorBidi" w:hAnsiTheme="majorBidi" w:cstheme="majorBidi"/>
          <w:b/>
          <w:i/>
          <w:color w:val="000000" w:themeColor="text1"/>
          <w:sz w:val="24"/>
          <w:szCs w:val="24"/>
        </w:rPr>
      </w:pPr>
      <w:r w:rsidRPr="002958E8">
        <w:rPr>
          <w:rFonts w:asciiTheme="majorBidi" w:hAnsiTheme="majorBidi" w:cstheme="majorBidi"/>
          <w:b/>
          <w:i/>
          <w:color w:val="000000" w:themeColor="text1"/>
          <w:sz w:val="24"/>
          <w:szCs w:val="24"/>
          <w:lang w:val="id-ID"/>
        </w:rPr>
        <w:t>Buku</w:t>
      </w:r>
    </w:p>
    <w:p w:rsidR="00977ACB" w:rsidRPr="00977ACB" w:rsidRDefault="00977ACB" w:rsidP="00977ACB">
      <w:pPr>
        <w:autoSpaceDE w:val="0"/>
        <w:autoSpaceDN w:val="0"/>
        <w:adjustRightInd w:val="0"/>
        <w:ind w:left="567" w:hanging="567"/>
        <w:jc w:val="both"/>
        <w:rPr>
          <w:iCs/>
          <w:sz w:val="24"/>
          <w:szCs w:val="24"/>
        </w:rPr>
      </w:pPr>
      <w:r w:rsidRPr="00977ACB">
        <w:rPr>
          <w:sz w:val="24"/>
          <w:szCs w:val="24"/>
        </w:rPr>
        <w:t>Fahmi, Irham. 201</w:t>
      </w:r>
      <w:r w:rsidR="007A05E3">
        <w:rPr>
          <w:sz w:val="24"/>
          <w:szCs w:val="24"/>
        </w:rPr>
        <w:t>2</w:t>
      </w:r>
      <w:r w:rsidRPr="00977ACB">
        <w:rPr>
          <w:b/>
          <w:bCs/>
          <w:sz w:val="24"/>
          <w:szCs w:val="24"/>
        </w:rPr>
        <w:t xml:space="preserve">. </w:t>
      </w:r>
      <w:r w:rsidRPr="000C74D2">
        <w:rPr>
          <w:i/>
          <w:iCs/>
          <w:sz w:val="24"/>
          <w:szCs w:val="24"/>
        </w:rPr>
        <w:t xml:space="preserve">Analisis Kinerja Keuangan, Panduan bagi Akademisi, </w:t>
      </w:r>
      <w:r w:rsidRPr="000C74D2">
        <w:rPr>
          <w:i/>
          <w:iCs/>
          <w:sz w:val="24"/>
          <w:szCs w:val="24"/>
        </w:rPr>
        <w:lastRenderedPageBreak/>
        <w:t>Manajer dan Investor Untuk Menilai dan Menganalisis Bisnis dari Aspek Keuangan</w:t>
      </w:r>
      <w:r w:rsidRPr="00977ACB">
        <w:rPr>
          <w:iCs/>
          <w:sz w:val="24"/>
          <w:szCs w:val="24"/>
        </w:rPr>
        <w:t xml:space="preserve">, </w:t>
      </w:r>
      <w:r w:rsidRPr="00977ACB">
        <w:rPr>
          <w:sz w:val="24"/>
          <w:szCs w:val="24"/>
        </w:rPr>
        <w:t>Alfabeta, Bandung</w:t>
      </w:r>
      <w:r w:rsidRPr="00977ACB">
        <w:rPr>
          <w:iCs/>
          <w:sz w:val="24"/>
          <w:szCs w:val="24"/>
        </w:rPr>
        <w:t>.</w:t>
      </w:r>
    </w:p>
    <w:p w:rsidR="00977ACB" w:rsidRPr="00977ACB" w:rsidRDefault="007A05E3" w:rsidP="000C74D2">
      <w:pPr>
        <w:autoSpaceDE w:val="0"/>
        <w:autoSpaceDN w:val="0"/>
        <w:adjustRightInd w:val="0"/>
        <w:ind w:left="567" w:hanging="567"/>
        <w:jc w:val="both"/>
        <w:rPr>
          <w:sz w:val="24"/>
          <w:szCs w:val="24"/>
        </w:rPr>
      </w:pPr>
      <w:r>
        <w:rPr>
          <w:sz w:val="24"/>
          <w:szCs w:val="24"/>
        </w:rPr>
        <w:t>Kasmir, 2012</w:t>
      </w:r>
      <w:r w:rsidR="00977ACB" w:rsidRPr="00977ACB">
        <w:rPr>
          <w:sz w:val="24"/>
          <w:szCs w:val="24"/>
        </w:rPr>
        <w:t xml:space="preserve">. </w:t>
      </w:r>
      <w:r w:rsidR="00977ACB" w:rsidRPr="000C74D2">
        <w:rPr>
          <w:i/>
          <w:iCs/>
          <w:sz w:val="24"/>
          <w:szCs w:val="24"/>
        </w:rPr>
        <w:t>Analisis Laporan Keuangan</w:t>
      </w:r>
      <w:r w:rsidR="00977ACB" w:rsidRPr="000C74D2">
        <w:rPr>
          <w:i/>
          <w:sz w:val="24"/>
          <w:szCs w:val="24"/>
        </w:rPr>
        <w:t>, edisi ketujuh</w:t>
      </w:r>
      <w:r w:rsidR="00977ACB" w:rsidRPr="00977ACB">
        <w:rPr>
          <w:sz w:val="24"/>
          <w:szCs w:val="24"/>
        </w:rPr>
        <w:t>, PT. Raja Grafindo</w:t>
      </w:r>
      <w:r w:rsidR="000C74D2">
        <w:rPr>
          <w:sz w:val="24"/>
          <w:szCs w:val="24"/>
        </w:rPr>
        <w:t xml:space="preserve"> </w:t>
      </w:r>
      <w:r w:rsidR="00977ACB" w:rsidRPr="00977ACB">
        <w:rPr>
          <w:sz w:val="24"/>
          <w:szCs w:val="24"/>
        </w:rPr>
        <w:t>Persada, Jakarta.</w:t>
      </w:r>
    </w:p>
    <w:p w:rsidR="00977ACB" w:rsidRPr="00977ACB" w:rsidRDefault="00977ACB" w:rsidP="000C74D2">
      <w:pPr>
        <w:autoSpaceDE w:val="0"/>
        <w:autoSpaceDN w:val="0"/>
        <w:adjustRightInd w:val="0"/>
        <w:ind w:left="567" w:hanging="567"/>
        <w:jc w:val="both"/>
        <w:rPr>
          <w:sz w:val="24"/>
          <w:szCs w:val="24"/>
        </w:rPr>
      </w:pPr>
      <w:r w:rsidRPr="00977ACB">
        <w:rPr>
          <w:sz w:val="24"/>
          <w:szCs w:val="24"/>
        </w:rPr>
        <w:t xml:space="preserve">Mawardi, 2005. </w:t>
      </w:r>
      <w:r w:rsidRPr="000C74D2">
        <w:rPr>
          <w:i/>
          <w:iCs/>
          <w:sz w:val="24"/>
          <w:szCs w:val="24"/>
        </w:rPr>
        <w:t>Teknik Analisis Kinerja</w:t>
      </w:r>
      <w:r w:rsidR="000C74D2">
        <w:rPr>
          <w:sz w:val="24"/>
          <w:szCs w:val="24"/>
        </w:rPr>
        <w:t xml:space="preserve">, </w:t>
      </w:r>
      <w:r w:rsidRPr="00977ACB">
        <w:rPr>
          <w:sz w:val="24"/>
          <w:szCs w:val="24"/>
        </w:rPr>
        <w:t>Universitas Diponegoro, Semarang.</w:t>
      </w:r>
    </w:p>
    <w:p w:rsidR="00977ACB" w:rsidRPr="00977ACB" w:rsidRDefault="00977ACB" w:rsidP="000C74D2">
      <w:pPr>
        <w:autoSpaceDE w:val="0"/>
        <w:autoSpaceDN w:val="0"/>
        <w:adjustRightInd w:val="0"/>
        <w:ind w:left="567" w:hanging="567"/>
        <w:jc w:val="both"/>
        <w:rPr>
          <w:sz w:val="24"/>
          <w:szCs w:val="24"/>
        </w:rPr>
      </w:pPr>
      <w:r w:rsidRPr="00977ACB">
        <w:rPr>
          <w:sz w:val="24"/>
          <w:szCs w:val="24"/>
        </w:rPr>
        <w:t xml:space="preserve">Munawir, Slamet. 2004. </w:t>
      </w:r>
      <w:r w:rsidRPr="000C74D2">
        <w:rPr>
          <w:i/>
          <w:iCs/>
          <w:sz w:val="24"/>
          <w:szCs w:val="24"/>
        </w:rPr>
        <w:t>Analisis Laporan Keuangan</w:t>
      </w:r>
      <w:r w:rsidR="000C74D2" w:rsidRPr="000C74D2">
        <w:rPr>
          <w:i/>
          <w:sz w:val="24"/>
          <w:szCs w:val="24"/>
        </w:rPr>
        <w:t>, edisi keempat</w:t>
      </w:r>
      <w:r w:rsidR="000C74D2">
        <w:rPr>
          <w:sz w:val="24"/>
          <w:szCs w:val="24"/>
        </w:rPr>
        <w:t xml:space="preserve">, Liberty, </w:t>
      </w:r>
      <w:r w:rsidRPr="00977ACB">
        <w:rPr>
          <w:sz w:val="24"/>
          <w:szCs w:val="24"/>
        </w:rPr>
        <w:t>Yogyakarta.</w:t>
      </w:r>
    </w:p>
    <w:p w:rsidR="00977ACB" w:rsidRPr="00977ACB" w:rsidRDefault="00977ACB" w:rsidP="000C74D2">
      <w:pPr>
        <w:autoSpaceDE w:val="0"/>
        <w:autoSpaceDN w:val="0"/>
        <w:adjustRightInd w:val="0"/>
        <w:ind w:left="567" w:hanging="567"/>
        <w:jc w:val="both"/>
        <w:rPr>
          <w:iCs/>
          <w:sz w:val="24"/>
          <w:szCs w:val="24"/>
        </w:rPr>
      </w:pPr>
      <w:r w:rsidRPr="00977ACB">
        <w:rPr>
          <w:sz w:val="24"/>
          <w:szCs w:val="24"/>
        </w:rPr>
        <w:t>Munawir</w:t>
      </w:r>
      <w:r w:rsidR="000C74D2">
        <w:rPr>
          <w:sz w:val="24"/>
          <w:szCs w:val="24"/>
        </w:rPr>
        <w:t xml:space="preserve">, Slamet. 2010. </w:t>
      </w:r>
      <w:r w:rsidRPr="000C74D2">
        <w:rPr>
          <w:i/>
          <w:iCs/>
          <w:sz w:val="24"/>
          <w:szCs w:val="24"/>
        </w:rPr>
        <w:t>Analisa Laporan Keuangan</w:t>
      </w:r>
      <w:r w:rsidRPr="00977ACB">
        <w:rPr>
          <w:sz w:val="24"/>
          <w:szCs w:val="24"/>
        </w:rPr>
        <w:t>, Liberty, Yogyakarta.</w:t>
      </w:r>
    </w:p>
    <w:p w:rsidR="00977ACB" w:rsidRPr="00977ACB" w:rsidRDefault="00977ACB" w:rsidP="000C74D2">
      <w:pPr>
        <w:autoSpaceDE w:val="0"/>
        <w:autoSpaceDN w:val="0"/>
        <w:adjustRightInd w:val="0"/>
        <w:ind w:left="567" w:hanging="567"/>
        <w:jc w:val="both"/>
        <w:rPr>
          <w:iCs/>
          <w:sz w:val="24"/>
          <w:szCs w:val="24"/>
        </w:rPr>
      </w:pPr>
      <w:r w:rsidRPr="00977ACB">
        <w:rPr>
          <w:sz w:val="24"/>
          <w:szCs w:val="24"/>
        </w:rPr>
        <w:t>Sawir, Agnes. 200</w:t>
      </w:r>
      <w:r w:rsidR="007A05E3">
        <w:rPr>
          <w:sz w:val="24"/>
          <w:szCs w:val="24"/>
        </w:rPr>
        <w:t>3</w:t>
      </w:r>
      <w:r w:rsidRPr="00977ACB">
        <w:rPr>
          <w:sz w:val="24"/>
          <w:szCs w:val="24"/>
        </w:rPr>
        <w:t xml:space="preserve">. </w:t>
      </w:r>
      <w:r w:rsidRPr="000C74D2">
        <w:rPr>
          <w:i/>
          <w:iCs/>
          <w:sz w:val="24"/>
          <w:szCs w:val="24"/>
        </w:rPr>
        <w:t>Analisis Kinerja Keu</w:t>
      </w:r>
      <w:r w:rsidR="000C74D2" w:rsidRPr="000C74D2">
        <w:rPr>
          <w:i/>
          <w:iCs/>
          <w:sz w:val="24"/>
          <w:szCs w:val="24"/>
        </w:rPr>
        <w:t xml:space="preserve">angan dan Perencanaan Keuangan </w:t>
      </w:r>
      <w:r w:rsidRPr="000C74D2">
        <w:rPr>
          <w:i/>
          <w:iCs/>
          <w:sz w:val="24"/>
          <w:szCs w:val="24"/>
        </w:rPr>
        <w:t>Perusahaan</w:t>
      </w:r>
      <w:r w:rsidRPr="00977ACB">
        <w:rPr>
          <w:sz w:val="24"/>
          <w:szCs w:val="24"/>
        </w:rPr>
        <w:t>, Gramedia Pusaka Utama, Jakarta.</w:t>
      </w:r>
    </w:p>
    <w:p w:rsidR="00977ACB" w:rsidRPr="00977ACB" w:rsidRDefault="00977ACB" w:rsidP="000C74D2">
      <w:pPr>
        <w:autoSpaceDE w:val="0"/>
        <w:autoSpaceDN w:val="0"/>
        <w:adjustRightInd w:val="0"/>
        <w:ind w:left="567" w:hanging="567"/>
        <w:jc w:val="both"/>
        <w:rPr>
          <w:sz w:val="24"/>
          <w:szCs w:val="24"/>
        </w:rPr>
      </w:pPr>
      <w:r w:rsidRPr="00977ACB">
        <w:rPr>
          <w:sz w:val="24"/>
          <w:szCs w:val="24"/>
        </w:rPr>
        <w:t>Sunyoto, Danang, 2013.</w:t>
      </w:r>
      <w:r w:rsidR="000C74D2">
        <w:rPr>
          <w:sz w:val="24"/>
          <w:szCs w:val="24"/>
        </w:rPr>
        <w:t xml:space="preserve"> </w:t>
      </w:r>
      <w:r w:rsidRPr="000C74D2">
        <w:rPr>
          <w:i/>
          <w:iCs/>
          <w:sz w:val="24"/>
          <w:szCs w:val="24"/>
        </w:rPr>
        <w:t>Metodologi Penelitian Akuntansi</w:t>
      </w:r>
      <w:r w:rsidRPr="00977ACB">
        <w:rPr>
          <w:sz w:val="24"/>
          <w:szCs w:val="24"/>
        </w:rPr>
        <w:t>, PT. Refika Aditama,</w:t>
      </w:r>
      <w:r w:rsidR="000C74D2">
        <w:rPr>
          <w:sz w:val="24"/>
          <w:szCs w:val="24"/>
        </w:rPr>
        <w:t xml:space="preserve"> </w:t>
      </w:r>
      <w:r w:rsidRPr="00977ACB">
        <w:rPr>
          <w:sz w:val="24"/>
          <w:szCs w:val="24"/>
        </w:rPr>
        <w:t>Bandung.</w:t>
      </w:r>
    </w:p>
    <w:p w:rsidR="000C74D2" w:rsidRDefault="000C74D2" w:rsidP="00500E8B">
      <w:pPr>
        <w:pStyle w:val="NoSpacing"/>
        <w:ind w:left="567" w:hanging="567"/>
        <w:jc w:val="both"/>
        <w:rPr>
          <w:rFonts w:asciiTheme="majorBidi" w:hAnsiTheme="majorBidi" w:cstheme="majorBidi"/>
          <w:b/>
          <w:i/>
          <w:color w:val="000000" w:themeColor="text1"/>
          <w:sz w:val="24"/>
          <w:szCs w:val="24"/>
        </w:rPr>
      </w:pPr>
    </w:p>
    <w:p w:rsidR="0016037E" w:rsidRPr="000C74D2" w:rsidRDefault="0016037E" w:rsidP="007A05E3">
      <w:pPr>
        <w:autoSpaceDE w:val="0"/>
        <w:autoSpaceDN w:val="0"/>
        <w:adjustRightInd w:val="0"/>
        <w:jc w:val="both"/>
        <w:rPr>
          <w:iCs/>
          <w:sz w:val="24"/>
          <w:szCs w:val="24"/>
        </w:rPr>
      </w:pPr>
    </w:p>
    <w:sectPr w:rsidR="0016037E" w:rsidRPr="000C74D2" w:rsidSect="0006085F">
      <w:type w:val="continuous"/>
      <w:pgSz w:w="11906" w:h="16838"/>
      <w:pgMar w:top="1418" w:right="1276" w:bottom="1418" w:left="1276" w:header="709" w:footer="1134" w:gutter="0"/>
      <w:cols w:num="2" w:space="51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F83" w:rsidRDefault="00504F83" w:rsidP="00EC0A7B">
      <w:r>
        <w:separator/>
      </w:r>
    </w:p>
  </w:endnote>
  <w:endnote w:type="continuationSeparator" w:id="0">
    <w:p w:rsidR="00504F83" w:rsidRDefault="00504F83" w:rsidP="00EC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7E" w:rsidRPr="004A08D6" w:rsidRDefault="0016037E">
    <w:pPr>
      <w:pStyle w:val="Footer"/>
      <w:jc w:val="right"/>
      <w:rPr>
        <w:rFonts w:ascii="Garamond" w:hAnsi="Garamond"/>
      </w:rPr>
    </w:pPr>
  </w:p>
  <w:tbl>
    <w:tblPr>
      <w:tblpPr w:leftFromText="187" w:rightFromText="187" w:vertAnchor="text" w:tblpY="1"/>
      <w:tblW w:w="5000" w:type="pct"/>
      <w:tblLook w:val="04A0" w:firstRow="1" w:lastRow="0" w:firstColumn="1" w:lastColumn="0" w:noHBand="0" w:noVBand="1"/>
    </w:tblPr>
    <w:tblGrid>
      <w:gridCol w:w="4306"/>
      <w:gridCol w:w="1047"/>
      <w:gridCol w:w="4217"/>
    </w:tblGrid>
    <w:tr w:rsidR="0016037E" w:rsidRPr="004A08D6" w:rsidTr="004A08D6">
      <w:trPr>
        <w:trHeight w:val="151"/>
      </w:trPr>
      <w:tc>
        <w:tcPr>
          <w:tcW w:w="2250" w:type="pct"/>
          <w:tcBorders>
            <w:bottom w:val="single" w:sz="4" w:space="0" w:color="4F81BD" w:themeColor="accent1"/>
          </w:tcBorders>
        </w:tcPr>
        <w:p w:rsidR="0016037E" w:rsidRPr="004A08D6" w:rsidRDefault="0016037E" w:rsidP="00906C08">
          <w:pPr>
            <w:pStyle w:val="Header"/>
            <w:rPr>
              <w:rFonts w:ascii="Garamond" w:eastAsiaTheme="majorEastAsia" w:hAnsi="Garamond" w:cstheme="majorBidi"/>
              <w:b/>
              <w:bCs/>
            </w:rPr>
          </w:pPr>
        </w:p>
      </w:tc>
      <w:tc>
        <w:tcPr>
          <w:tcW w:w="547" w:type="pct"/>
          <w:vMerge w:val="restart"/>
          <w:noWrap/>
          <w:vAlign w:val="center"/>
        </w:tcPr>
        <w:p w:rsidR="0016037E" w:rsidRPr="008B76FE" w:rsidRDefault="0016037E" w:rsidP="00906C08">
          <w:pPr>
            <w:pStyle w:val="NoSpacing"/>
            <w:rPr>
              <w:rFonts w:ascii="Times New Roman" w:eastAsiaTheme="majorEastAsia" w:hAnsi="Times New Roman" w:cs="Times New Roman"/>
              <w:b/>
              <w:sz w:val="20"/>
              <w:szCs w:val="20"/>
            </w:rPr>
          </w:pPr>
          <w:r w:rsidRPr="008B76FE">
            <w:rPr>
              <w:rFonts w:ascii="Times New Roman" w:eastAsiaTheme="majorEastAsia" w:hAnsi="Times New Roman" w:cs="Times New Roman"/>
              <w:b/>
              <w:bCs/>
              <w:sz w:val="20"/>
              <w:szCs w:val="20"/>
            </w:rPr>
            <w:t xml:space="preserve">Page </w:t>
          </w:r>
          <w:r w:rsidRPr="008B76FE">
            <w:rPr>
              <w:rFonts w:ascii="Times New Roman" w:hAnsi="Times New Roman" w:cs="Times New Roman"/>
              <w:b/>
              <w:sz w:val="20"/>
              <w:szCs w:val="20"/>
            </w:rPr>
            <w:fldChar w:fldCharType="begin"/>
          </w:r>
          <w:r w:rsidRPr="008B76FE">
            <w:rPr>
              <w:rFonts w:ascii="Times New Roman" w:hAnsi="Times New Roman" w:cs="Times New Roman"/>
              <w:b/>
              <w:sz w:val="20"/>
              <w:szCs w:val="20"/>
            </w:rPr>
            <w:instrText xml:space="preserve"> PAGE  \* MERGEFORMAT </w:instrText>
          </w:r>
          <w:r w:rsidRPr="008B76FE">
            <w:rPr>
              <w:rFonts w:ascii="Times New Roman" w:hAnsi="Times New Roman" w:cs="Times New Roman"/>
              <w:b/>
              <w:sz w:val="20"/>
              <w:szCs w:val="20"/>
            </w:rPr>
            <w:fldChar w:fldCharType="separate"/>
          </w:r>
          <w:r w:rsidR="00C16C6D" w:rsidRPr="00C16C6D">
            <w:rPr>
              <w:rFonts w:ascii="Times New Roman" w:eastAsiaTheme="majorEastAsia" w:hAnsi="Times New Roman" w:cs="Times New Roman"/>
              <w:b/>
              <w:bCs/>
              <w:noProof/>
              <w:sz w:val="20"/>
              <w:szCs w:val="20"/>
            </w:rPr>
            <w:t>50</w:t>
          </w:r>
          <w:r w:rsidRPr="008B76FE">
            <w:rPr>
              <w:rFonts w:ascii="Times New Roman" w:eastAsiaTheme="majorEastAsia" w:hAnsi="Times New Roman" w:cs="Times New Roman"/>
              <w:b/>
              <w:bCs/>
              <w:noProof/>
              <w:sz w:val="20"/>
              <w:szCs w:val="20"/>
            </w:rPr>
            <w:fldChar w:fldCharType="end"/>
          </w:r>
        </w:p>
      </w:tc>
      <w:tc>
        <w:tcPr>
          <w:tcW w:w="2203" w:type="pct"/>
          <w:tcBorders>
            <w:bottom w:val="single" w:sz="4" w:space="0" w:color="4F81BD" w:themeColor="accent1"/>
          </w:tcBorders>
        </w:tcPr>
        <w:p w:rsidR="0016037E" w:rsidRPr="004A08D6" w:rsidRDefault="0016037E" w:rsidP="00906C08">
          <w:pPr>
            <w:pStyle w:val="Header"/>
            <w:rPr>
              <w:rFonts w:ascii="Garamond" w:eastAsiaTheme="majorEastAsia" w:hAnsi="Garamond" w:cstheme="majorBidi"/>
              <w:b/>
              <w:bCs/>
            </w:rPr>
          </w:pPr>
        </w:p>
      </w:tc>
    </w:tr>
    <w:tr w:rsidR="0016037E" w:rsidRPr="004A08D6" w:rsidTr="004A08D6">
      <w:trPr>
        <w:trHeight w:val="150"/>
      </w:trPr>
      <w:tc>
        <w:tcPr>
          <w:tcW w:w="2250" w:type="pct"/>
          <w:tcBorders>
            <w:top w:val="single" w:sz="4" w:space="0" w:color="4F81BD" w:themeColor="accent1"/>
          </w:tcBorders>
        </w:tcPr>
        <w:p w:rsidR="0016037E" w:rsidRPr="004A08D6" w:rsidRDefault="0016037E" w:rsidP="00906C08">
          <w:pPr>
            <w:pStyle w:val="Header"/>
            <w:rPr>
              <w:rFonts w:ascii="Garamond" w:eastAsiaTheme="majorEastAsia" w:hAnsi="Garamond" w:cstheme="majorBidi"/>
              <w:b/>
              <w:bCs/>
            </w:rPr>
          </w:pPr>
        </w:p>
      </w:tc>
      <w:tc>
        <w:tcPr>
          <w:tcW w:w="547" w:type="pct"/>
          <w:vMerge/>
        </w:tcPr>
        <w:p w:rsidR="0016037E" w:rsidRPr="004A08D6" w:rsidRDefault="0016037E" w:rsidP="00906C08">
          <w:pPr>
            <w:pStyle w:val="Header"/>
            <w:jc w:val="center"/>
            <w:rPr>
              <w:rFonts w:ascii="Garamond" w:eastAsiaTheme="majorEastAsia" w:hAnsi="Garamond" w:cstheme="majorBidi"/>
              <w:b/>
              <w:bCs/>
            </w:rPr>
          </w:pPr>
        </w:p>
      </w:tc>
      <w:tc>
        <w:tcPr>
          <w:tcW w:w="2203" w:type="pct"/>
          <w:tcBorders>
            <w:top w:val="single" w:sz="4" w:space="0" w:color="4F81BD" w:themeColor="accent1"/>
          </w:tcBorders>
        </w:tcPr>
        <w:p w:rsidR="0016037E" w:rsidRPr="004A08D6" w:rsidRDefault="0016037E" w:rsidP="00906C08">
          <w:pPr>
            <w:pStyle w:val="Header"/>
            <w:rPr>
              <w:rFonts w:ascii="Garamond" w:eastAsiaTheme="majorEastAsia" w:hAnsi="Garamond" w:cstheme="majorBidi"/>
              <w:b/>
              <w:bCs/>
            </w:rPr>
          </w:pPr>
        </w:p>
      </w:tc>
    </w:tr>
  </w:tbl>
  <w:p w:rsidR="0016037E" w:rsidRPr="004A08D6" w:rsidRDefault="0016037E">
    <w:pPr>
      <w:pStyle w:val="Footer"/>
      <w:rPr>
        <w:rFonts w:ascii="Garamond" w:hAnsi="Garamond"/>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306"/>
      <w:gridCol w:w="957"/>
      <w:gridCol w:w="4307"/>
    </w:tblGrid>
    <w:tr w:rsidR="0016037E" w:rsidRPr="00754042" w:rsidTr="00906C08">
      <w:trPr>
        <w:trHeight w:val="151"/>
      </w:trPr>
      <w:tc>
        <w:tcPr>
          <w:tcW w:w="2250" w:type="pct"/>
          <w:tcBorders>
            <w:bottom w:val="single" w:sz="4" w:space="0" w:color="4F81BD" w:themeColor="accent1"/>
          </w:tcBorders>
        </w:tcPr>
        <w:p w:rsidR="0016037E" w:rsidRPr="00754042" w:rsidRDefault="0016037E" w:rsidP="00754042">
          <w:pPr>
            <w:pStyle w:val="Footer"/>
            <w:rPr>
              <w:b/>
              <w:bCs/>
            </w:rPr>
          </w:pPr>
        </w:p>
      </w:tc>
      <w:tc>
        <w:tcPr>
          <w:tcW w:w="500" w:type="pct"/>
          <w:vMerge w:val="restart"/>
          <w:noWrap/>
          <w:vAlign w:val="center"/>
        </w:tcPr>
        <w:p w:rsidR="0016037E" w:rsidRPr="008B76FE" w:rsidRDefault="0016037E" w:rsidP="00754042">
          <w:pPr>
            <w:pStyle w:val="Footer"/>
            <w:rPr>
              <w:b/>
            </w:rPr>
          </w:pPr>
          <w:r w:rsidRPr="008B76FE">
            <w:rPr>
              <w:b/>
              <w:bCs/>
            </w:rPr>
            <w:t xml:space="preserve">Page </w:t>
          </w:r>
          <w:r w:rsidRPr="008B76FE">
            <w:rPr>
              <w:b/>
            </w:rPr>
            <w:fldChar w:fldCharType="begin"/>
          </w:r>
          <w:r w:rsidRPr="008B76FE">
            <w:rPr>
              <w:b/>
            </w:rPr>
            <w:instrText xml:space="preserve"> PAGE  \* MERGEFORMAT </w:instrText>
          </w:r>
          <w:r w:rsidRPr="008B76FE">
            <w:rPr>
              <w:b/>
            </w:rPr>
            <w:fldChar w:fldCharType="separate"/>
          </w:r>
          <w:r w:rsidR="00C16C6D" w:rsidRPr="00C16C6D">
            <w:rPr>
              <w:b/>
              <w:bCs/>
              <w:noProof/>
            </w:rPr>
            <w:t>51</w:t>
          </w:r>
          <w:r w:rsidRPr="008B76FE">
            <w:rPr>
              <w:b/>
            </w:rPr>
            <w:fldChar w:fldCharType="end"/>
          </w:r>
        </w:p>
      </w:tc>
      <w:tc>
        <w:tcPr>
          <w:tcW w:w="2250" w:type="pct"/>
          <w:tcBorders>
            <w:bottom w:val="single" w:sz="4" w:space="0" w:color="4F81BD" w:themeColor="accent1"/>
          </w:tcBorders>
        </w:tcPr>
        <w:p w:rsidR="0016037E" w:rsidRPr="00754042" w:rsidRDefault="0016037E" w:rsidP="00754042">
          <w:pPr>
            <w:pStyle w:val="Footer"/>
            <w:rPr>
              <w:b/>
              <w:bCs/>
            </w:rPr>
          </w:pPr>
        </w:p>
      </w:tc>
    </w:tr>
    <w:tr w:rsidR="0016037E" w:rsidRPr="00754042" w:rsidTr="00906C08">
      <w:trPr>
        <w:trHeight w:val="150"/>
      </w:trPr>
      <w:tc>
        <w:tcPr>
          <w:tcW w:w="2250" w:type="pct"/>
          <w:tcBorders>
            <w:top w:val="single" w:sz="4" w:space="0" w:color="4F81BD" w:themeColor="accent1"/>
          </w:tcBorders>
        </w:tcPr>
        <w:p w:rsidR="0016037E" w:rsidRPr="00754042" w:rsidRDefault="0016037E" w:rsidP="00754042">
          <w:pPr>
            <w:pStyle w:val="Footer"/>
            <w:rPr>
              <w:b/>
              <w:bCs/>
            </w:rPr>
          </w:pPr>
        </w:p>
      </w:tc>
      <w:tc>
        <w:tcPr>
          <w:tcW w:w="500" w:type="pct"/>
          <w:vMerge/>
        </w:tcPr>
        <w:p w:rsidR="0016037E" w:rsidRPr="00754042" w:rsidRDefault="0016037E" w:rsidP="00754042">
          <w:pPr>
            <w:pStyle w:val="Footer"/>
            <w:rPr>
              <w:b/>
              <w:bCs/>
            </w:rPr>
          </w:pPr>
        </w:p>
      </w:tc>
      <w:tc>
        <w:tcPr>
          <w:tcW w:w="2250" w:type="pct"/>
          <w:tcBorders>
            <w:top w:val="single" w:sz="4" w:space="0" w:color="4F81BD" w:themeColor="accent1"/>
          </w:tcBorders>
        </w:tcPr>
        <w:p w:rsidR="0016037E" w:rsidRPr="00754042" w:rsidRDefault="0016037E" w:rsidP="00754042">
          <w:pPr>
            <w:pStyle w:val="Footer"/>
            <w:rPr>
              <w:b/>
              <w:bCs/>
            </w:rPr>
          </w:pPr>
        </w:p>
      </w:tc>
    </w:tr>
  </w:tbl>
  <w:p w:rsidR="0016037E" w:rsidRDefault="001603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7E" w:rsidRPr="006D1676" w:rsidRDefault="0016037E" w:rsidP="00550B8C">
    <w:pPr>
      <w:pStyle w:val="Header"/>
      <w:jc w:val="center"/>
      <w:rPr>
        <w:rFonts w:ascii="Garamond" w:hAnsi="Garamond"/>
        <w:sz w:val="24"/>
        <w:szCs w:val="24"/>
        <w:lang w:val="id-ID"/>
      </w:rPr>
    </w:pPr>
    <w:r w:rsidRPr="006D1676">
      <w:rPr>
        <w:rFonts w:ascii="Garamond" w:hAnsi="Garamond"/>
        <w:sz w:val="24"/>
        <w:szCs w:val="24"/>
        <w:lang w:val="id-ID"/>
      </w:rPr>
      <w:t>1</w:t>
    </w:r>
  </w:p>
  <w:p w:rsidR="0016037E" w:rsidRPr="00093D10" w:rsidRDefault="0016037E" w:rsidP="00550B8C">
    <w:pPr>
      <w:pStyle w:val="Header"/>
      <w:jc w:val="center"/>
      <w:rPr>
        <w:rFonts w:ascii="Garamond" w:hAnsi="Garamond"/>
        <w:b/>
        <w:lang w:val="id-ID"/>
      </w:rPr>
    </w:pPr>
    <w:r w:rsidRPr="00C7512F">
      <w:rPr>
        <w:rFonts w:ascii="Garamond" w:hAnsi="Garamond"/>
        <w:b/>
        <w:lang w:val="id-ID"/>
      </w:rPr>
      <w:t>Jurnal Inspirasi Bisnis dan Manajemen</w:t>
    </w:r>
    <w:r>
      <w:rPr>
        <w:rFonts w:ascii="Garamond" w:hAnsi="Garamond"/>
        <w:b/>
        <w:lang w:val="id-ID"/>
      </w:rPr>
      <w:t>,</w:t>
    </w:r>
    <w:r w:rsidRPr="00C7512F">
      <w:rPr>
        <w:rFonts w:ascii="Garamond" w:hAnsi="Garamond"/>
        <w:lang w:val="id-ID"/>
      </w:rPr>
      <w:t xml:space="preserve"> Vol </w:t>
    </w:r>
    <w:r w:rsidRPr="00C7512F">
      <w:rPr>
        <w:rFonts w:ascii="Garamond" w:hAnsi="Garamond"/>
      </w:rPr>
      <w:t>1</w:t>
    </w:r>
    <w:r w:rsidRPr="00C7512F">
      <w:rPr>
        <w:rFonts w:ascii="Garamond" w:hAnsi="Garamond"/>
        <w:lang w:val="id-ID"/>
      </w:rPr>
      <w:t>, (</w:t>
    </w:r>
    <w:r w:rsidRPr="00C7512F">
      <w:rPr>
        <w:rFonts w:ascii="Garamond" w:hAnsi="Garamond"/>
      </w:rPr>
      <w:t>1</w:t>
    </w:r>
    <w:r w:rsidRPr="00C7512F">
      <w:rPr>
        <w:rFonts w:ascii="Garamond" w:hAnsi="Garamond"/>
        <w:lang w:val="id-ID"/>
      </w:rPr>
      <w:t xml:space="preserve">), </w:t>
    </w:r>
    <w:r w:rsidRPr="00C7512F">
      <w:rPr>
        <w:rFonts w:ascii="Garamond" w:hAnsi="Garamond"/>
      </w:rPr>
      <w:t xml:space="preserve">2017, </w:t>
    </w:r>
    <w:r>
      <w:rPr>
        <w:rFonts w:ascii="Garamond" w:hAnsi="Garamond"/>
        <w:lang w:val="id-ID"/>
      </w:rPr>
      <w:t>01 - 09</w:t>
    </w:r>
  </w:p>
  <w:p w:rsidR="0016037E" w:rsidRPr="008A36BD" w:rsidRDefault="0016037E" w:rsidP="00550B8C">
    <w:pPr>
      <w:pStyle w:val="Footer"/>
      <w:jc w:val="center"/>
      <w:rPr>
        <w:rFonts w:ascii="Garamond" w:hAnsi="Garamond"/>
        <w:sz w:val="36"/>
        <w:szCs w:val="36"/>
        <w:lang w:val="id-ID"/>
      </w:rPr>
    </w:pPr>
    <w:r w:rsidRPr="00C7512F">
      <w:rPr>
        <w:rFonts w:ascii="Garamond" w:hAnsi="Garamond"/>
        <w:lang w:val="id-ID"/>
      </w:rPr>
      <w:t>e-2579-9401, p-2579-9312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F83" w:rsidRDefault="00504F83" w:rsidP="00EC0A7B">
      <w:r>
        <w:separator/>
      </w:r>
    </w:p>
  </w:footnote>
  <w:footnote w:type="continuationSeparator" w:id="0">
    <w:p w:rsidR="00504F83" w:rsidRDefault="00504F83" w:rsidP="00EC0A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7E" w:rsidRPr="000743B8" w:rsidRDefault="000743B8" w:rsidP="0043104D">
    <w:pPr>
      <w:rPr>
        <w:szCs w:val="24"/>
      </w:rPr>
    </w:pPr>
    <w:r>
      <w:rPr>
        <w:szCs w:val="24"/>
      </w:rPr>
      <w:t>Rendi Wijaya</w:t>
    </w:r>
  </w:p>
  <w:p w:rsidR="0016037E" w:rsidRPr="000743B8" w:rsidRDefault="000743B8" w:rsidP="000743B8">
    <w:pPr>
      <w:jc w:val="both"/>
      <w:outlineLvl w:val="0"/>
      <w:rPr>
        <w:lang w:val="fi-FI"/>
      </w:rPr>
    </w:pPr>
    <w:r w:rsidRPr="000743B8">
      <w:rPr>
        <w:bCs/>
      </w:rPr>
      <w:t xml:space="preserve">Analisis Perkembangan </w:t>
    </w:r>
    <w:r w:rsidRPr="000743B8">
      <w:rPr>
        <w:bCs/>
        <w:i/>
        <w:iCs/>
      </w:rPr>
      <w:t xml:space="preserve">Return On Assets </w:t>
    </w:r>
    <w:r w:rsidRPr="000743B8">
      <w:rPr>
        <w:bCs/>
      </w:rPr>
      <w:t>(R</w:t>
    </w:r>
    <w:r w:rsidR="00AD4012">
      <w:rPr>
        <w:bCs/>
      </w:rPr>
      <w:t>OA</w:t>
    </w:r>
    <w:r w:rsidRPr="000743B8">
      <w:rPr>
        <w:bCs/>
      </w:rPr>
      <w:t>)</w:t>
    </w:r>
    <w:r>
      <w:rPr>
        <w:lang w:val="fi-FI"/>
      </w:rPr>
      <w:t xml:space="preserve"> </w:t>
    </w:r>
    <w:r>
      <w:rPr>
        <w:bCs/>
      </w:rPr>
      <w:t>d</w:t>
    </w:r>
    <w:r w:rsidRPr="000743B8">
      <w:rPr>
        <w:bCs/>
      </w:rPr>
      <w:t xml:space="preserve">an </w:t>
    </w:r>
    <w:r w:rsidRPr="000743B8">
      <w:rPr>
        <w:bCs/>
        <w:i/>
        <w:iCs/>
      </w:rPr>
      <w:t xml:space="preserve">Return On Equity </w:t>
    </w:r>
    <w:r w:rsidRPr="000743B8">
      <w:rPr>
        <w:bCs/>
      </w:rPr>
      <w:t>(R</w:t>
    </w:r>
    <w:r w:rsidR="00AD4012">
      <w:rPr>
        <w:bCs/>
      </w:rPr>
      <w:t>OE</w:t>
    </w:r>
    <w:r w:rsidRPr="000743B8">
      <w:rPr>
        <w:bCs/>
      </w:rPr>
      <w:t xml:space="preserve">) </w:t>
    </w:r>
    <w:r w:rsidR="00E9373D">
      <w:rPr>
        <w:bCs/>
      </w:rPr>
      <w:t>u</w:t>
    </w:r>
    <w:r w:rsidRPr="000743B8">
      <w:rPr>
        <w:bCs/>
      </w:rPr>
      <w:t>ntuk Mengukur</w:t>
    </w:r>
    <w:r>
      <w:rPr>
        <w:lang w:val="fi-FI"/>
      </w:rPr>
      <w:t xml:space="preserve"> </w:t>
    </w:r>
    <w:r w:rsidR="00E9373D">
      <w:rPr>
        <w:bCs/>
      </w:rPr>
      <w:t>Kinerja Keuangan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37E" w:rsidRPr="00122ACD" w:rsidRDefault="0016037E" w:rsidP="00627B02">
    <w:pPr>
      <w:pStyle w:val="Header"/>
      <w:jc w:val="right"/>
    </w:pPr>
    <w:r w:rsidRPr="0043104D">
      <w:rPr>
        <w:b/>
        <w:lang w:val="id-ID"/>
      </w:rPr>
      <w:t xml:space="preserve">Jurnal </w:t>
    </w:r>
    <w:r w:rsidR="00122ACD">
      <w:rPr>
        <w:b/>
      </w:rPr>
      <w:t>Ilmu</w:t>
    </w:r>
    <w:r w:rsidRPr="0043104D">
      <w:rPr>
        <w:b/>
        <w:lang w:val="id-ID"/>
      </w:rPr>
      <w:t xml:space="preserve"> Manajemen,</w:t>
    </w:r>
    <w:r w:rsidRPr="0043104D">
      <w:rPr>
        <w:lang w:val="id-ID"/>
      </w:rPr>
      <w:t xml:space="preserve"> Vol</w:t>
    </w:r>
    <w:r w:rsidR="0038665A">
      <w:t>ume</w:t>
    </w:r>
    <w:r w:rsidRPr="0043104D">
      <w:rPr>
        <w:lang w:val="id-ID"/>
      </w:rPr>
      <w:t xml:space="preserve"> </w:t>
    </w:r>
    <w:r w:rsidR="00E9373D">
      <w:t>9, issue 1</w:t>
    </w:r>
  </w:p>
  <w:p w:rsidR="0016037E" w:rsidRDefault="00E9373D" w:rsidP="00627B02">
    <w:pPr>
      <w:pStyle w:val="Header"/>
      <w:ind w:right="-2"/>
      <w:jc w:val="right"/>
    </w:pPr>
    <w:r>
      <w:t>Desember, 2019</w:t>
    </w:r>
    <w:r w:rsidR="0038665A">
      <w:t>,</w:t>
    </w:r>
  </w:p>
  <w:p w:rsidR="00727C68" w:rsidRPr="0038665A" w:rsidRDefault="0038665A" w:rsidP="00727C68">
    <w:pPr>
      <w:pStyle w:val="Header"/>
      <w:ind w:right="-2"/>
      <w:jc w:val="right"/>
    </w:pPr>
    <w:r>
      <w:t xml:space="preserve">Page </w:t>
    </w:r>
    <w:r w:rsidR="00C16C6D">
      <w:t>40</w:t>
    </w:r>
    <w:r w:rsidR="00727C68">
      <w:t xml:space="preserve"> –</w:t>
    </w:r>
    <w:r w:rsidR="00C16C6D">
      <w:t xml:space="preserve"> 51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120"/>
    <w:multiLevelType w:val="hybridMultilevel"/>
    <w:tmpl w:val="0B981C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3E50C6"/>
    <w:multiLevelType w:val="multilevel"/>
    <w:tmpl w:val="7C22B70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A06299A"/>
    <w:multiLevelType w:val="hybridMultilevel"/>
    <w:tmpl w:val="132A7398"/>
    <w:lvl w:ilvl="0" w:tplc="0222255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B822951"/>
    <w:multiLevelType w:val="hybridMultilevel"/>
    <w:tmpl w:val="8C5651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AE6B85"/>
    <w:multiLevelType w:val="hybridMultilevel"/>
    <w:tmpl w:val="A5A4128C"/>
    <w:lvl w:ilvl="0" w:tplc="CDA6E964">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3304BA2"/>
    <w:multiLevelType w:val="hybridMultilevel"/>
    <w:tmpl w:val="8EC22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AC6D0E"/>
    <w:multiLevelType w:val="hybridMultilevel"/>
    <w:tmpl w:val="A7782D72"/>
    <w:lvl w:ilvl="0" w:tplc="EC60D9F8">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F05979"/>
    <w:multiLevelType w:val="hybridMultilevel"/>
    <w:tmpl w:val="39E21604"/>
    <w:lvl w:ilvl="0" w:tplc="FE6AC0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18771F7"/>
    <w:multiLevelType w:val="hybridMultilevel"/>
    <w:tmpl w:val="8D7AF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1A5897"/>
    <w:multiLevelType w:val="hybridMultilevel"/>
    <w:tmpl w:val="98581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15548"/>
    <w:multiLevelType w:val="hybridMultilevel"/>
    <w:tmpl w:val="7C60D764"/>
    <w:lvl w:ilvl="0" w:tplc="0B1EFF2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2AD31367"/>
    <w:multiLevelType w:val="hybridMultilevel"/>
    <w:tmpl w:val="DCDEB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0A34CA"/>
    <w:multiLevelType w:val="hybridMultilevel"/>
    <w:tmpl w:val="98104954"/>
    <w:lvl w:ilvl="0" w:tplc="6D7467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2FC011DA"/>
    <w:multiLevelType w:val="hybridMultilevel"/>
    <w:tmpl w:val="445AA334"/>
    <w:lvl w:ilvl="0" w:tplc="8E3C2BD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7493473"/>
    <w:multiLevelType w:val="hybridMultilevel"/>
    <w:tmpl w:val="AF04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942816"/>
    <w:multiLevelType w:val="hybridMultilevel"/>
    <w:tmpl w:val="E51ACF2E"/>
    <w:lvl w:ilvl="0" w:tplc="B3E618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46916BFF"/>
    <w:multiLevelType w:val="hybridMultilevel"/>
    <w:tmpl w:val="4F165F88"/>
    <w:lvl w:ilvl="0" w:tplc="04090015">
      <w:start w:val="1"/>
      <w:numFmt w:val="upperLetter"/>
      <w:lvlText w:val="%1."/>
      <w:lvlJc w:val="left"/>
      <w:pPr>
        <w:ind w:left="720" w:hanging="360"/>
      </w:pPr>
      <w:rPr>
        <w:rFonts w:hint="default"/>
      </w:rPr>
    </w:lvl>
    <w:lvl w:ilvl="1" w:tplc="D15C6260">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5147B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25BF5"/>
    <w:multiLevelType w:val="hybridMultilevel"/>
    <w:tmpl w:val="3B4AE4A8"/>
    <w:lvl w:ilvl="0" w:tplc="3208BFB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4E9B5081"/>
    <w:multiLevelType w:val="hybridMultilevel"/>
    <w:tmpl w:val="2534A3BC"/>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5A7F7B72"/>
    <w:multiLevelType w:val="hybridMultilevel"/>
    <w:tmpl w:val="2CE01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EFB0B3C"/>
    <w:multiLevelType w:val="hybridMultilevel"/>
    <w:tmpl w:val="C234E426"/>
    <w:lvl w:ilvl="0" w:tplc="0B1EFF2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5F1E5D8B"/>
    <w:multiLevelType w:val="hybridMultilevel"/>
    <w:tmpl w:val="7A2A4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D470729"/>
    <w:multiLevelType w:val="hybridMultilevel"/>
    <w:tmpl w:val="C79E7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370F59"/>
    <w:multiLevelType w:val="hybridMultilevel"/>
    <w:tmpl w:val="1A882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3"/>
  </w:num>
  <w:num w:numId="3">
    <w:abstractNumId w:val="19"/>
  </w:num>
  <w:num w:numId="4">
    <w:abstractNumId w:val="14"/>
  </w:num>
  <w:num w:numId="5">
    <w:abstractNumId w:val="23"/>
  </w:num>
  <w:num w:numId="6">
    <w:abstractNumId w:val="3"/>
  </w:num>
  <w:num w:numId="7">
    <w:abstractNumId w:val="1"/>
  </w:num>
  <w:num w:numId="8">
    <w:abstractNumId w:val="15"/>
  </w:num>
  <w:num w:numId="9">
    <w:abstractNumId w:val="12"/>
  </w:num>
  <w:num w:numId="10">
    <w:abstractNumId w:val="10"/>
  </w:num>
  <w:num w:numId="11">
    <w:abstractNumId w:val="17"/>
  </w:num>
  <w:num w:numId="12">
    <w:abstractNumId w:val="20"/>
  </w:num>
  <w:num w:numId="13">
    <w:abstractNumId w:val="18"/>
  </w:num>
  <w:num w:numId="14">
    <w:abstractNumId w:val="16"/>
  </w:num>
  <w:num w:numId="15">
    <w:abstractNumId w:val="21"/>
  </w:num>
  <w:num w:numId="16">
    <w:abstractNumId w:val="7"/>
  </w:num>
  <w:num w:numId="17">
    <w:abstractNumId w:val="2"/>
  </w:num>
  <w:num w:numId="18">
    <w:abstractNumId w:val="4"/>
  </w:num>
  <w:num w:numId="19">
    <w:abstractNumId w:val="8"/>
  </w:num>
  <w:num w:numId="20">
    <w:abstractNumId w:val="11"/>
  </w:num>
  <w:num w:numId="21">
    <w:abstractNumId w:val="22"/>
  </w:num>
  <w:num w:numId="22">
    <w:abstractNumId w:val="9"/>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7B"/>
    <w:rsid w:val="00013179"/>
    <w:rsid w:val="0001679E"/>
    <w:rsid w:val="00035793"/>
    <w:rsid w:val="0006085F"/>
    <w:rsid w:val="00066F8B"/>
    <w:rsid w:val="00067613"/>
    <w:rsid w:val="00073341"/>
    <w:rsid w:val="00073D5B"/>
    <w:rsid w:val="000743B8"/>
    <w:rsid w:val="00080DA1"/>
    <w:rsid w:val="00083DB8"/>
    <w:rsid w:val="000C2443"/>
    <w:rsid w:val="000C74D2"/>
    <w:rsid w:val="000E367F"/>
    <w:rsid w:val="001174B7"/>
    <w:rsid w:val="00122ACD"/>
    <w:rsid w:val="00123FE8"/>
    <w:rsid w:val="001249E9"/>
    <w:rsid w:val="00130B23"/>
    <w:rsid w:val="001339B9"/>
    <w:rsid w:val="00141E32"/>
    <w:rsid w:val="001506D6"/>
    <w:rsid w:val="0016037E"/>
    <w:rsid w:val="00164422"/>
    <w:rsid w:val="00170D39"/>
    <w:rsid w:val="00177129"/>
    <w:rsid w:val="0019657F"/>
    <w:rsid w:val="00196A5F"/>
    <w:rsid w:val="001F1757"/>
    <w:rsid w:val="001F4337"/>
    <w:rsid w:val="001F438E"/>
    <w:rsid w:val="001F4929"/>
    <w:rsid w:val="002058B4"/>
    <w:rsid w:val="0023581A"/>
    <w:rsid w:val="00244A10"/>
    <w:rsid w:val="00245D22"/>
    <w:rsid w:val="00254043"/>
    <w:rsid w:val="00256239"/>
    <w:rsid w:val="00271C60"/>
    <w:rsid w:val="002723C2"/>
    <w:rsid w:val="00290CC9"/>
    <w:rsid w:val="00296198"/>
    <w:rsid w:val="002A0320"/>
    <w:rsid w:val="002A3CCE"/>
    <w:rsid w:val="002D5076"/>
    <w:rsid w:val="002D5489"/>
    <w:rsid w:val="002E3AA6"/>
    <w:rsid w:val="00322782"/>
    <w:rsid w:val="00331C17"/>
    <w:rsid w:val="00336D35"/>
    <w:rsid w:val="00357400"/>
    <w:rsid w:val="00364883"/>
    <w:rsid w:val="00375DD7"/>
    <w:rsid w:val="00385330"/>
    <w:rsid w:val="0038665A"/>
    <w:rsid w:val="003A2C03"/>
    <w:rsid w:val="003B1788"/>
    <w:rsid w:val="003B23DB"/>
    <w:rsid w:val="003C7D61"/>
    <w:rsid w:val="003D3C03"/>
    <w:rsid w:val="003D499F"/>
    <w:rsid w:val="003E2EF8"/>
    <w:rsid w:val="003F3356"/>
    <w:rsid w:val="003F4B09"/>
    <w:rsid w:val="003F6E27"/>
    <w:rsid w:val="00400953"/>
    <w:rsid w:val="00404F33"/>
    <w:rsid w:val="0041447B"/>
    <w:rsid w:val="0043104D"/>
    <w:rsid w:val="00441994"/>
    <w:rsid w:val="00450E61"/>
    <w:rsid w:val="00453863"/>
    <w:rsid w:val="0045416D"/>
    <w:rsid w:val="004666BD"/>
    <w:rsid w:val="004863FC"/>
    <w:rsid w:val="004A08D6"/>
    <w:rsid w:val="004A1970"/>
    <w:rsid w:val="004B25DF"/>
    <w:rsid w:val="00500384"/>
    <w:rsid w:val="00500E8B"/>
    <w:rsid w:val="005029C3"/>
    <w:rsid w:val="00504F83"/>
    <w:rsid w:val="0051465F"/>
    <w:rsid w:val="005263CE"/>
    <w:rsid w:val="0053213D"/>
    <w:rsid w:val="005323FA"/>
    <w:rsid w:val="00550B8C"/>
    <w:rsid w:val="00573F02"/>
    <w:rsid w:val="00594AF5"/>
    <w:rsid w:val="00595BBC"/>
    <w:rsid w:val="00596A50"/>
    <w:rsid w:val="005A20D2"/>
    <w:rsid w:val="005B4D81"/>
    <w:rsid w:val="005C03A7"/>
    <w:rsid w:val="005C2C3D"/>
    <w:rsid w:val="005C2F92"/>
    <w:rsid w:val="005D2426"/>
    <w:rsid w:val="005E2A53"/>
    <w:rsid w:val="005F182F"/>
    <w:rsid w:val="005F6221"/>
    <w:rsid w:val="006013A5"/>
    <w:rsid w:val="00602BC1"/>
    <w:rsid w:val="00617D5A"/>
    <w:rsid w:val="00626E5A"/>
    <w:rsid w:val="00627912"/>
    <w:rsid w:val="00627B02"/>
    <w:rsid w:val="00627FA0"/>
    <w:rsid w:val="00685B9D"/>
    <w:rsid w:val="006A2448"/>
    <w:rsid w:val="006D1676"/>
    <w:rsid w:val="006F089E"/>
    <w:rsid w:val="006F36E2"/>
    <w:rsid w:val="00706953"/>
    <w:rsid w:val="00710C8D"/>
    <w:rsid w:val="00716390"/>
    <w:rsid w:val="007243D6"/>
    <w:rsid w:val="00726614"/>
    <w:rsid w:val="00727C68"/>
    <w:rsid w:val="00754042"/>
    <w:rsid w:val="007626D4"/>
    <w:rsid w:val="007858D7"/>
    <w:rsid w:val="00786BA9"/>
    <w:rsid w:val="007A05E3"/>
    <w:rsid w:val="007A7F1E"/>
    <w:rsid w:val="007C0CDC"/>
    <w:rsid w:val="007D0198"/>
    <w:rsid w:val="007D085C"/>
    <w:rsid w:val="007E6374"/>
    <w:rsid w:val="00812B00"/>
    <w:rsid w:val="008271E0"/>
    <w:rsid w:val="008358FF"/>
    <w:rsid w:val="0084273F"/>
    <w:rsid w:val="0085635F"/>
    <w:rsid w:val="00867875"/>
    <w:rsid w:val="0088046A"/>
    <w:rsid w:val="008A2611"/>
    <w:rsid w:val="008A36BD"/>
    <w:rsid w:val="008B76FE"/>
    <w:rsid w:val="008C5976"/>
    <w:rsid w:val="008E745C"/>
    <w:rsid w:val="008F0213"/>
    <w:rsid w:val="008F1DC7"/>
    <w:rsid w:val="0090081C"/>
    <w:rsid w:val="00906C08"/>
    <w:rsid w:val="009433A3"/>
    <w:rsid w:val="00944D8C"/>
    <w:rsid w:val="0094758D"/>
    <w:rsid w:val="0095203F"/>
    <w:rsid w:val="009524DF"/>
    <w:rsid w:val="00977ACB"/>
    <w:rsid w:val="00986876"/>
    <w:rsid w:val="009911A4"/>
    <w:rsid w:val="009A7723"/>
    <w:rsid w:val="009C6CE8"/>
    <w:rsid w:val="009D05DC"/>
    <w:rsid w:val="009D3D5D"/>
    <w:rsid w:val="009D58AF"/>
    <w:rsid w:val="009E6659"/>
    <w:rsid w:val="009F798C"/>
    <w:rsid w:val="00A15D84"/>
    <w:rsid w:val="00A163A6"/>
    <w:rsid w:val="00A23DED"/>
    <w:rsid w:val="00A24061"/>
    <w:rsid w:val="00A45661"/>
    <w:rsid w:val="00A46C94"/>
    <w:rsid w:val="00A622AD"/>
    <w:rsid w:val="00A65A34"/>
    <w:rsid w:val="00A84668"/>
    <w:rsid w:val="00A85DBD"/>
    <w:rsid w:val="00A96898"/>
    <w:rsid w:val="00AA3D37"/>
    <w:rsid w:val="00AB37F2"/>
    <w:rsid w:val="00AC1191"/>
    <w:rsid w:val="00AC7997"/>
    <w:rsid w:val="00AD1AA3"/>
    <w:rsid w:val="00AD4012"/>
    <w:rsid w:val="00AD52A7"/>
    <w:rsid w:val="00AF380E"/>
    <w:rsid w:val="00B231C9"/>
    <w:rsid w:val="00B405B8"/>
    <w:rsid w:val="00B55B63"/>
    <w:rsid w:val="00B62808"/>
    <w:rsid w:val="00B62A44"/>
    <w:rsid w:val="00B666D6"/>
    <w:rsid w:val="00B70EB2"/>
    <w:rsid w:val="00B839C5"/>
    <w:rsid w:val="00B83EA4"/>
    <w:rsid w:val="00B90DE8"/>
    <w:rsid w:val="00B91215"/>
    <w:rsid w:val="00B9458A"/>
    <w:rsid w:val="00BB5204"/>
    <w:rsid w:val="00BC5600"/>
    <w:rsid w:val="00BE6197"/>
    <w:rsid w:val="00C16208"/>
    <w:rsid w:val="00C16977"/>
    <w:rsid w:val="00C16C6D"/>
    <w:rsid w:val="00C36579"/>
    <w:rsid w:val="00C77608"/>
    <w:rsid w:val="00C80A9D"/>
    <w:rsid w:val="00C824BA"/>
    <w:rsid w:val="00C835EA"/>
    <w:rsid w:val="00CA1AA2"/>
    <w:rsid w:val="00CB366E"/>
    <w:rsid w:val="00CB6781"/>
    <w:rsid w:val="00CD3CB0"/>
    <w:rsid w:val="00CE3199"/>
    <w:rsid w:val="00CE4CAC"/>
    <w:rsid w:val="00CF57A3"/>
    <w:rsid w:val="00D03C2C"/>
    <w:rsid w:val="00D27B6E"/>
    <w:rsid w:val="00D46BEA"/>
    <w:rsid w:val="00D46F65"/>
    <w:rsid w:val="00D625AF"/>
    <w:rsid w:val="00D70BCD"/>
    <w:rsid w:val="00D83EE6"/>
    <w:rsid w:val="00DA0EB7"/>
    <w:rsid w:val="00DA3F9F"/>
    <w:rsid w:val="00DD4C50"/>
    <w:rsid w:val="00DF4718"/>
    <w:rsid w:val="00E0016C"/>
    <w:rsid w:val="00E1089D"/>
    <w:rsid w:val="00E1103D"/>
    <w:rsid w:val="00E135EC"/>
    <w:rsid w:val="00E337CA"/>
    <w:rsid w:val="00E34765"/>
    <w:rsid w:val="00E35D11"/>
    <w:rsid w:val="00E418DC"/>
    <w:rsid w:val="00E439CD"/>
    <w:rsid w:val="00E46A9F"/>
    <w:rsid w:val="00E62C1E"/>
    <w:rsid w:val="00E66D98"/>
    <w:rsid w:val="00E71828"/>
    <w:rsid w:val="00E9373D"/>
    <w:rsid w:val="00E956CA"/>
    <w:rsid w:val="00E97DA0"/>
    <w:rsid w:val="00EA2E99"/>
    <w:rsid w:val="00EA7BB3"/>
    <w:rsid w:val="00EB5604"/>
    <w:rsid w:val="00EB5A68"/>
    <w:rsid w:val="00EB7050"/>
    <w:rsid w:val="00EB7E27"/>
    <w:rsid w:val="00EC0A13"/>
    <w:rsid w:val="00EC0A7B"/>
    <w:rsid w:val="00EC3E16"/>
    <w:rsid w:val="00ED2404"/>
    <w:rsid w:val="00ED5FBA"/>
    <w:rsid w:val="00F24B83"/>
    <w:rsid w:val="00F42688"/>
    <w:rsid w:val="00F465D7"/>
    <w:rsid w:val="00F46D51"/>
    <w:rsid w:val="00F84085"/>
    <w:rsid w:val="00F920C6"/>
    <w:rsid w:val="00F928F3"/>
    <w:rsid w:val="00F96394"/>
    <w:rsid w:val="00FB1C83"/>
    <w:rsid w:val="00FB461B"/>
    <w:rsid w:val="00FC2C9D"/>
    <w:rsid w:val="00FC300E"/>
    <w:rsid w:val="00FD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5EB50"/>
  <w15:docId w15:val="{BCBE1148-C17D-4D7B-8CE4-2EA0B68F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A7B"/>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C0A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0A7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0A7B"/>
    <w:pPr>
      <w:keepNext/>
      <w:spacing w:before="240" w:after="60"/>
      <w:outlineLvl w:val="3"/>
    </w:pPr>
    <w:rPr>
      <w:b/>
      <w:bCs/>
      <w:sz w:val="28"/>
      <w:szCs w:val="28"/>
    </w:rPr>
  </w:style>
  <w:style w:type="paragraph" w:styleId="Heading6">
    <w:name w:val="heading 6"/>
    <w:basedOn w:val="Normal"/>
    <w:next w:val="Normal"/>
    <w:link w:val="Heading6Char"/>
    <w:uiPriority w:val="9"/>
    <w:unhideWhenUsed/>
    <w:qFormat/>
    <w:rsid w:val="00EB5A6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0A7B"/>
    <w:pPr>
      <w:tabs>
        <w:tab w:val="center" w:pos="4320"/>
        <w:tab w:val="right" w:pos="8640"/>
      </w:tabs>
    </w:pPr>
  </w:style>
  <w:style w:type="character" w:customStyle="1" w:styleId="HeaderChar">
    <w:name w:val="Header Char"/>
    <w:basedOn w:val="DefaultParagraphFont"/>
    <w:link w:val="Header"/>
    <w:uiPriority w:val="99"/>
    <w:rsid w:val="00EC0A7B"/>
    <w:rPr>
      <w:rFonts w:ascii="Times New Roman" w:eastAsia="Times New Roman" w:hAnsi="Times New Roman" w:cs="Times New Roman"/>
      <w:sz w:val="20"/>
      <w:szCs w:val="20"/>
      <w:lang w:val="en-US"/>
    </w:rPr>
  </w:style>
  <w:style w:type="paragraph" w:customStyle="1" w:styleId="BasicParagraph">
    <w:name w:val="[Basic Paragraph]"/>
    <w:basedOn w:val="Normal"/>
    <w:uiPriority w:val="99"/>
    <w:rsid w:val="00EC0A7B"/>
    <w:pPr>
      <w:autoSpaceDE w:val="0"/>
      <w:autoSpaceDN w:val="0"/>
      <w:adjustRightInd w:val="0"/>
      <w:spacing w:line="288" w:lineRule="auto"/>
      <w:textAlignment w:val="center"/>
    </w:pPr>
    <w:rPr>
      <w:rFonts w:ascii="Calisto MT" w:eastAsia="Calibri" w:hAnsi="Calisto MT" w:cs="Calisto MT"/>
      <w:color w:val="000000"/>
      <w:lang w:val="en-GB"/>
    </w:rPr>
  </w:style>
  <w:style w:type="paragraph" w:styleId="BalloonText">
    <w:name w:val="Balloon Text"/>
    <w:basedOn w:val="Normal"/>
    <w:link w:val="BalloonTextChar"/>
    <w:uiPriority w:val="99"/>
    <w:semiHidden/>
    <w:unhideWhenUsed/>
    <w:rsid w:val="00EC0A7B"/>
    <w:rPr>
      <w:rFonts w:ascii="Tahoma" w:hAnsi="Tahoma" w:cs="Tahoma"/>
      <w:sz w:val="16"/>
      <w:szCs w:val="16"/>
    </w:rPr>
  </w:style>
  <w:style w:type="character" w:customStyle="1" w:styleId="BalloonTextChar">
    <w:name w:val="Balloon Text Char"/>
    <w:basedOn w:val="DefaultParagraphFont"/>
    <w:link w:val="BalloonText"/>
    <w:uiPriority w:val="99"/>
    <w:semiHidden/>
    <w:rsid w:val="00EC0A7B"/>
    <w:rPr>
      <w:rFonts w:ascii="Tahoma" w:eastAsia="Times New Roman" w:hAnsi="Tahoma" w:cs="Tahoma"/>
      <w:sz w:val="16"/>
      <w:szCs w:val="16"/>
      <w:lang w:val="en-US"/>
    </w:rPr>
  </w:style>
  <w:style w:type="table" w:styleId="TableGrid">
    <w:name w:val="Table Grid"/>
    <w:basedOn w:val="TableNormal"/>
    <w:rsid w:val="00EC0A7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EC0A7B"/>
    <w:pPr>
      <w:jc w:val="center"/>
    </w:pPr>
    <w:rPr>
      <w:b/>
      <w:bCs/>
      <w:sz w:val="28"/>
      <w:szCs w:val="24"/>
      <w:lang w:val="id-ID"/>
    </w:rPr>
  </w:style>
  <w:style w:type="character" w:customStyle="1" w:styleId="TitleChar">
    <w:name w:val="Title Char"/>
    <w:basedOn w:val="DefaultParagraphFont"/>
    <w:link w:val="Title"/>
    <w:uiPriority w:val="10"/>
    <w:rsid w:val="00EC0A7B"/>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EC0A7B"/>
    <w:pPr>
      <w:jc w:val="center"/>
    </w:pPr>
    <w:rPr>
      <w:b/>
      <w:bCs/>
      <w:sz w:val="32"/>
      <w:szCs w:val="32"/>
      <w:lang w:val="en-GB"/>
    </w:rPr>
  </w:style>
  <w:style w:type="character" w:customStyle="1" w:styleId="SubtitleChar">
    <w:name w:val="Subtitle Char"/>
    <w:basedOn w:val="DefaultParagraphFont"/>
    <w:link w:val="Subtitle"/>
    <w:uiPriority w:val="11"/>
    <w:rsid w:val="00EC0A7B"/>
    <w:rPr>
      <w:rFonts w:ascii="Times New Roman" w:eastAsia="Times New Roman" w:hAnsi="Times New Roman" w:cs="Times New Roman"/>
      <w:b/>
      <w:bCs/>
      <w:sz w:val="32"/>
      <w:szCs w:val="32"/>
      <w:lang w:val="en-GB"/>
    </w:rPr>
  </w:style>
  <w:style w:type="character" w:styleId="CommentReference">
    <w:name w:val="annotation reference"/>
    <w:basedOn w:val="DefaultParagraphFont"/>
    <w:uiPriority w:val="99"/>
    <w:semiHidden/>
    <w:unhideWhenUsed/>
    <w:rsid w:val="00EC0A7B"/>
    <w:rPr>
      <w:sz w:val="16"/>
      <w:szCs w:val="16"/>
    </w:rPr>
  </w:style>
  <w:style w:type="paragraph" w:styleId="CommentText">
    <w:name w:val="annotation text"/>
    <w:basedOn w:val="Normal"/>
    <w:link w:val="CommentTextChar"/>
    <w:uiPriority w:val="99"/>
    <w:semiHidden/>
    <w:unhideWhenUsed/>
    <w:rsid w:val="00EC0A7B"/>
  </w:style>
  <w:style w:type="character" w:customStyle="1" w:styleId="CommentTextChar">
    <w:name w:val="Comment Text Char"/>
    <w:basedOn w:val="DefaultParagraphFont"/>
    <w:link w:val="CommentText"/>
    <w:uiPriority w:val="99"/>
    <w:semiHidden/>
    <w:rsid w:val="00EC0A7B"/>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EC0A7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EC0A7B"/>
    <w:rPr>
      <w:rFonts w:ascii="Arial" w:eastAsia="Times New Roman" w:hAnsi="Arial" w:cs="Arial"/>
      <w:b/>
      <w:bCs/>
      <w:sz w:val="26"/>
      <w:szCs w:val="26"/>
      <w:lang w:val="en-US"/>
    </w:rPr>
  </w:style>
  <w:style w:type="character" w:customStyle="1" w:styleId="Heading4Char">
    <w:name w:val="Heading 4 Char"/>
    <w:basedOn w:val="DefaultParagraphFont"/>
    <w:link w:val="Heading4"/>
    <w:rsid w:val="00EC0A7B"/>
    <w:rPr>
      <w:rFonts w:ascii="Times New Roman" w:eastAsia="Times New Roman" w:hAnsi="Times New Roman" w:cs="Times New Roman"/>
      <w:b/>
      <w:bCs/>
      <w:sz w:val="28"/>
      <w:szCs w:val="28"/>
      <w:lang w:val="en-US"/>
    </w:rPr>
  </w:style>
  <w:style w:type="character" w:styleId="Hyperlink">
    <w:name w:val="Hyperlink"/>
    <w:basedOn w:val="DefaultParagraphFont"/>
    <w:uiPriority w:val="99"/>
    <w:rsid w:val="00EC0A7B"/>
    <w:rPr>
      <w:color w:val="0000FF"/>
      <w:u w:val="single"/>
    </w:rPr>
  </w:style>
  <w:style w:type="paragraph" w:styleId="Caption">
    <w:name w:val="caption"/>
    <w:basedOn w:val="Normal"/>
    <w:next w:val="Normal"/>
    <w:uiPriority w:val="35"/>
    <w:qFormat/>
    <w:rsid w:val="00EC0A7B"/>
    <w:pPr>
      <w:spacing w:line="480" w:lineRule="auto"/>
      <w:jc w:val="center"/>
    </w:pPr>
    <w:rPr>
      <w:i/>
      <w:iCs/>
    </w:rPr>
  </w:style>
  <w:style w:type="character" w:styleId="Strong">
    <w:name w:val="Strong"/>
    <w:basedOn w:val="DefaultParagraphFont"/>
    <w:uiPriority w:val="22"/>
    <w:qFormat/>
    <w:rsid w:val="00EC0A7B"/>
    <w:rPr>
      <w:rFonts w:cs="Times New Roman"/>
      <w:b/>
      <w:bCs/>
    </w:rPr>
  </w:style>
  <w:style w:type="character" w:styleId="Emphasis">
    <w:name w:val="Emphasis"/>
    <w:basedOn w:val="DefaultParagraphFont"/>
    <w:uiPriority w:val="20"/>
    <w:qFormat/>
    <w:rsid w:val="00EC0A7B"/>
    <w:rPr>
      <w:i/>
      <w:iCs/>
    </w:rPr>
  </w:style>
  <w:style w:type="character" w:customStyle="1" w:styleId="apple-converted-space">
    <w:name w:val="apple-converted-space"/>
    <w:basedOn w:val="DefaultParagraphFont"/>
    <w:rsid w:val="00EC0A7B"/>
  </w:style>
  <w:style w:type="paragraph" w:styleId="ListParagraph">
    <w:name w:val="List Paragraph"/>
    <w:basedOn w:val="Normal"/>
    <w:link w:val="ListParagraphChar"/>
    <w:uiPriority w:val="34"/>
    <w:qFormat/>
    <w:rsid w:val="00EC0A7B"/>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EC0A7B"/>
    <w:rPr>
      <w:rFonts w:ascii="Calibri" w:eastAsia="Times New Roman" w:hAnsi="Calibri" w:cs="Times New Roman"/>
      <w:lang w:val="en-GB" w:eastAsia="en-GB"/>
    </w:rPr>
  </w:style>
  <w:style w:type="paragraph" w:styleId="Footer">
    <w:name w:val="footer"/>
    <w:basedOn w:val="Normal"/>
    <w:link w:val="FooterChar"/>
    <w:uiPriority w:val="99"/>
    <w:unhideWhenUsed/>
    <w:rsid w:val="00EC0A7B"/>
    <w:pPr>
      <w:tabs>
        <w:tab w:val="center" w:pos="4513"/>
        <w:tab w:val="right" w:pos="9026"/>
      </w:tabs>
    </w:pPr>
  </w:style>
  <w:style w:type="character" w:customStyle="1" w:styleId="FooterChar">
    <w:name w:val="Footer Char"/>
    <w:basedOn w:val="DefaultParagraphFont"/>
    <w:link w:val="Footer"/>
    <w:uiPriority w:val="99"/>
    <w:rsid w:val="00EC0A7B"/>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EC0A7B"/>
  </w:style>
  <w:style w:type="paragraph" w:styleId="NormalWeb">
    <w:name w:val="Normal (Web)"/>
    <w:basedOn w:val="Normal"/>
    <w:uiPriority w:val="99"/>
    <w:unhideWhenUsed/>
    <w:rsid w:val="00B62808"/>
    <w:pPr>
      <w:spacing w:before="100" w:beforeAutospacing="1" w:after="100" w:afterAutospacing="1"/>
    </w:pPr>
    <w:rPr>
      <w:sz w:val="24"/>
      <w:szCs w:val="24"/>
      <w:lang w:val="id-ID" w:eastAsia="id-ID"/>
    </w:rPr>
  </w:style>
  <w:style w:type="paragraph" w:styleId="NoSpacing">
    <w:name w:val="No Spacing"/>
    <w:link w:val="NoSpacingChar"/>
    <w:uiPriority w:val="1"/>
    <w:qFormat/>
    <w:rsid w:val="004A08D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A08D6"/>
    <w:rPr>
      <w:rFonts w:eastAsiaTheme="minorEastAsia"/>
      <w:lang w:val="en-US" w:eastAsia="ja-JP"/>
    </w:rPr>
  </w:style>
  <w:style w:type="character" w:customStyle="1" w:styleId="Heading6Char">
    <w:name w:val="Heading 6 Char"/>
    <w:basedOn w:val="DefaultParagraphFont"/>
    <w:link w:val="Heading6"/>
    <w:uiPriority w:val="9"/>
    <w:rsid w:val="00EB5A68"/>
    <w:rPr>
      <w:rFonts w:asciiTheme="majorHAnsi" w:eastAsiaTheme="majorEastAsia" w:hAnsiTheme="majorHAnsi" w:cstheme="majorBidi"/>
      <w:color w:val="243F60" w:themeColor="accent1" w:themeShade="7F"/>
      <w:sz w:val="20"/>
      <w:szCs w:val="20"/>
      <w:lang w:val="en-US"/>
    </w:rPr>
  </w:style>
  <w:style w:type="character" w:customStyle="1" w:styleId="longtext">
    <w:name w:val="long_text"/>
    <w:basedOn w:val="DefaultParagraphFont"/>
    <w:rsid w:val="0023581A"/>
  </w:style>
  <w:style w:type="paragraph" w:styleId="HTMLPreformatted">
    <w:name w:val="HTML Preformatted"/>
    <w:basedOn w:val="Normal"/>
    <w:link w:val="HTMLPreformattedChar"/>
    <w:uiPriority w:val="99"/>
    <w:rsid w:val="00431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3104D"/>
    <w:rPr>
      <w:rFonts w:ascii="Courier New" w:eastAsia="Times New Roman" w:hAnsi="Courier New" w:cs="Courier New"/>
      <w:sz w:val="20"/>
      <w:szCs w:val="20"/>
      <w:lang w:val="en-US"/>
    </w:rPr>
  </w:style>
  <w:style w:type="table" w:customStyle="1" w:styleId="TableGrid1">
    <w:name w:val="Table Grid1"/>
    <w:basedOn w:val="TableNormal"/>
    <w:next w:val="TableGrid"/>
    <w:rsid w:val="00431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C2C9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ange">
    <w:name w:val="yange"/>
    <w:basedOn w:val="Normal"/>
    <w:rsid w:val="00595BBC"/>
    <w:pPr>
      <w:ind w:left="360"/>
      <w:jc w:val="both"/>
    </w:pPr>
    <w:rPr>
      <w:rFonts w:ascii="Arial" w:hAnsi="Arial" w:cs="Arial"/>
      <w:szCs w:val="24"/>
    </w:rPr>
  </w:style>
  <w:style w:type="paragraph" w:styleId="BodyText">
    <w:name w:val="Body Text"/>
    <w:basedOn w:val="Normal"/>
    <w:link w:val="BodyTextChar"/>
    <w:uiPriority w:val="1"/>
    <w:qFormat/>
    <w:rsid w:val="0016037E"/>
    <w:pPr>
      <w:widowControl w:val="0"/>
    </w:pPr>
    <w:rPr>
      <w:sz w:val="24"/>
      <w:szCs w:val="24"/>
    </w:rPr>
  </w:style>
  <w:style w:type="character" w:customStyle="1" w:styleId="BodyTextChar">
    <w:name w:val="Body Text Char"/>
    <w:basedOn w:val="DefaultParagraphFont"/>
    <w:link w:val="BodyText"/>
    <w:uiPriority w:val="1"/>
    <w:rsid w:val="0016037E"/>
    <w:rPr>
      <w:rFonts w:ascii="Times New Roman" w:eastAsia="Times New Roman" w:hAnsi="Times New Roman" w:cs="Times New Roman"/>
      <w:sz w:val="24"/>
      <w:szCs w:val="24"/>
      <w:lang w:val="en-US"/>
    </w:rPr>
  </w:style>
  <w:style w:type="paragraph" w:customStyle="1" w:styleId="Abstract-head">
    <w:name w:val="Abstract-head"/>
    <w:next w:val="Normal"/>
    <w:rsid w:val="0038665A"/>
    <w:pPr>
      <w:keepNext/>
      <w:suppressAutoHyphens/>
      <w:spacing w:before="440" w:line="240" w:lineRule="auto"/>
    </w:pPr>
    <w:rPr>
      <w:rFonts w:ascii="Times New Roman" w:eastAsia="SimSun" w:hAnsi="Times New Roman" w:cs="Times New Roman"/>
      <w:sz w:val="20"/>
      <w:szCs w:val="20"/>
      <w:lang w:val="en-US"/>
    </w:rPr>
  </w:style>
  <w:style w:type="paragraph" w:customStyle="1" w:styleId="1eAbstract-text">
    <w:name w:val="1.e. Abstract-text"/>
    <w:next w:val="Normal"/>
    <w:rsid w:val="0038665A"/>
    <w:pPr>
      <w:pBdr>
        <w:top w:val="single" w:sz="4" w:space="1" w:color="auto"/>
      </w:pBdr>
      <w:spacing w:before="200" w:after="0" w:line="220" w:lineRule="exact"/>
      <w:jc w:val="both"/>
    </w:pPr>
    <w:rPr>
      <w:rFonts w:ascii="Times New Roman" w:eastAsia="SimSun" w:hAnsi="Times New Roman" w:cs="Times New Roman"/>
      <w:szCs w:val="20"/>
      <w:lang w:val="en-US"/>
    </w:rPr>
  </w:style>
  <w:style w:type="paragraph" w:customStyle="1" w:styleId="1cAffiliation">
    <w:name w:val="1.c. Affiliation"/>
    <w:next w:val="Abstract-head"/>
    <w:autoRedefine/>
    <w:rsid w:val="0038665A"/>
    <w:pPr>
      <w:pBdr>
        <w:bottom w:val="single" w:sz="2" w:space="1" w:color="auto"/>
      </w:pBdr>
      <w:suppressAutoHyphens/>
      <w:spacing w:after="0" w:line="240" w:lineRule="auto"/>
    </w:pPr>
    <w:rPr>
      <w:rFonts w:ascii="Times New Roman" w:eastAsia="SimSun" w:hAnsi="Times New Roman" w:cs="Times New Roman"/>
      <w:i/>
      <w:noProof/>
      <w:sz w:val="20"/>
      <w:szCs w:val="20"/>
      <w:lang w:val="en-US"/>
    </w:rPr>
  </w:style>
  <w:style w:type="paragraph" w:customStyle="1" w:styleId="1bAuthor">
    <w:name w:val="1.b. Author"/>
    <w:next w:val="Normal"/>
    <w:autoRedefine/>
    <w:rsid w:val="0038665A"/>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lang w:val="en-US"/>
    </w:rPr>
  </w:style>
  <w:style w:type="paragraph" w:customStyle="1" w:styleId="1fHistory">
    <w:name w:val="1.f. History"/>
    <w:next w:val="Normal"/>
    <w:rsid w:val="0038665A"/>
    <w:pPr>
      <w:pBdr>
        <w:top w:val="single" w:sz="4" w:space="1" w:color="auto"/>
      </w:pBdr>
      <w:spacing w:after="0" w:line="230" w:lineRule="exact"/>
    </w:pPr>
    <w:rPr>
      <w:rFonts w:ascii="Times New Roman" w:eastAsia="SimSun" w:hAnsi="Times New Roman" w:cs="Times New Roman"/>
      <w:noProof/>
      <w:sz w:val="18"/>
      <w:szCs w:val="20"/>
      <w:lang w:val="en-US"/>
    </w:rPr>
  </w:style>
  <w:style w:type="paragraph" w:customStyle="1" w:styleId="1dKeywords">
    <w:name w:val="1.d. Keywords"/>
    <w:next w:val="Normal"/>
    <w:autoRedefine/>
    <w:rsid w:val="00AF380E"/>
    <w:pPr>
      <w:pBdr>
        <w:top w:val="single" w:sz="4" w:space="1" w:color="auto"/>
      </w:pBdr>
      <w:spacing w:after="0" w:line="230" w:lineRule="exact"/>
      <w:jc w:val="both"/>
    </w:pPr>
    <w:rPr>
      <w:rFonts w:ascii="Times New Roman" w:eastAsia="SimSun" w:hAnsi="Times New Roman" w:cs="Times New Roman"/>
      <w:i/>
      <w:iCs/>
      <w:noProof/>
      <w:sz w:val="18"/>
      <w:szCs w:val="18"/>
      <w:lang w:val="en-US"/>
    </w:rPr>
  </w:style>
  <w:style w:type="paragraph" w:customStyle="1" w:styleId="1aTitle">
    <w:name w:val="1.a. Title"/>
    <w:next w:val="1bAuthor"/>
    <w:autoRedefine/>
    <w:rsid w:val="0038665A"/>
    <w:pPr>
      <w:suppressAutoHyphens/>
      <w:spacing w:after="340" w:line="440" w:lineRule="exact"/>
      <w:jc w:val="both"/>
    </w:pPr>
    <w:rPr>
      <w:rFonts w:ascii="Times New Roman" w:eastAsia="SimSun" w:hAnsi="Times New Roman" w:cs="Times New Roman"/>
      <w:b/>
      <w:sz w:val="32"/>
      <w:szCs w:val="20"/>
      <w:lang w:val="en-US"/>
    </w:rPr>
  </w:style>
  <w:style w:type="paragraph" w:customStyle="1" w:styleId="Els-Abstract-Copyright">
    <w:name w:val="Els-Abstract-Copyright"/>
    <w:basedOn w:val="1eAbstract-text"/>
    <w:rsid w:val="0038665A"/>
    <w:pPr>
      <w:spacing w:before="0" w:line="230" w:lineRule="exact"/>
      <w:jc w:val="right"/>
    </w:pPr>
  </w:style>
  <w:style w:type="paragraph" w:customStyle="1" w:styleId="Els-history-head">
    <w:name w:val="Els-history-head"/>
    <w:basedOn w:val="1fHistory"/>
    <w:qFormat/>
    <w:rsid w:val="0038665A"/>
    <w:rPr>
      <w:i/>
    </w:rPr>
  </w:style>
  <w:style w:type="paragraph" w:customStyle="1" w:styleId="2jacknowledgement">
    <w:name w:val="2.j. acknowledgement"/>
    <w:next w:val="Normal"/>
    <w:rsid w:val="00500E8B"/>
    <w:pPr>
      <w:keepNext/>
      <w:spacing w:before="230" w:after="230" w:line="230" w:lineRule="exact"/>
    </w:pPr>
    <w:rPr>
      <w:rFonts w:ascii="Times New Roman" w:eastAsia="SimSun" w:hAnsi="Times New Roman" w:cs="Times New Roman"/>
      <w:b/>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252390">
      <w:bodyDiv w:val="1"/>
      <w:marLeft w:val="0"/>
      <w:marRight w:val="0"/>
      <w:marTop w:val="0"/>
      <w:marBottom w:val="0"/>
      <w:divBdr>
        <w:top w:val="none" w:sz="0" w:space="0" w:color="auto"/>
        <w:left w:val="none" w:sz="0" w:space="0" w:color="auto"/>
        <w:bottom w:val="none" w:sz="0" w:space="0" w:color="auto"/>
        <w:right w:val="none" w:sz="0" w:space="0" w:color="auto"/>
      </w:divBdr>
    </w:div>
    <w:div w:id="188725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502/jimn.v8i1.164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jurnal.um-palembang.ac.id/ilmu_manajemen"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i="1"/>
              <a:t>Return On Assets (ROA)</a:t>
            </a:r>
          </a:p>
        </c:rich>
      </c:tx>
      <c:overlay val="0"/>
    </c:title>
    <c:autoTitleDeleted val="0"/>
    <c:plotArea>
      <c:layout/>
      <c:lineChart>
        <c:grouping val="standard"/>
        <c:varyColors val="0"/>
        <c:ser>
          <c:idx val="0"/>
          <c:order val="0"/>
          <c:tx>
            <c:strRef>
              <c:f>Sheet1!$B$1</c:f>
              <c:strCache>
                <c:ptCount val="1"/>
                <c:pt idx="0">
                  <c:v>Perkembangan Return On Assets (ROA)</c:v>
                </c:pt>
              </c:strCache>
            </c:strRef>
          </c:tx>
          <c:cat>
            <c:numRef>
              <c:f>Sheet1!$A$2:$A$6</c:f>
              <c:numCache>
                <c:formatCode>General</c:formatCode>
                <c:ptCount val="5"/>
                <c:pt idx="0">
                  <c:v>2013</c:v>
                </c:pt>
                <c:pt idx="1">
                  <c:v>2014</c:v>
                </c:pt>
                <c:pt idx="2">
                  <c:v>2015</c:v>
                </c:pt>
                <c:pt idx="3">
                  <c:v>2016</c:v>
                </c:pt>
                <c:pt idx="4">
                  <c:v>2017</c:v>
                </c:pt>
              </c:numCache>
            </c:numRef>
          </c:cat>
          <c:val>
            <c:numRef>
              <c:f>Sheet1!$B$2:$B$6</c:f>
              <c:numCache>
                <c:formatCode>0.00%</c:formatCode>
                <c:ptCount val="5"/>
                <c:pt idx="0">
                  <c:v>0.28670000000000001</c:v>
                </c:pt>
                <c:pt idx="1">
                  <c:v>0.40960000000000002</c:v>
                </c:pt>
                <c:pt idx="2">
                  <c:v>0.22489999999999999</c:v>
                </c:pt>
                <c:pt idx="3">
                  <c:v>0.13969999999999999</c:v>
                </c:pt>
                <c:pt idx="4">
                  <c:v>0.48259999999999997</c:v>
                </c:pt>
              </c:numCache>
            </c:numRef>
          </c:val>
          <c:smooth val="0"/>
          <c:extLst>
            <c:ext xmlns:c16="http://schemas.microsoft.com/office/drawing/2014/chart" uri="{C3380CC4-5D6E-409C-BE32-E72D297353CC}">
              <c16:uniqueId val="{00000000-2BE1-4AD4-8A07-FC669B22D919}"/>
            </c:ext>
          </c:extLst>
        </c:ser>
        <c:ser>
          <c:idx val="1"/>
          <c:order val="1"/>
          <c:tx>
            <c:strRef>
              <c:f>Sheet1!$C$1</c:f>
              <c:strCache>
                <c:ptCount val="1"/>
                <c:pt idx="0">
                  <c:v>Column1</c:v>
                </c:pt>
              </c:strCache>
            </c:strRef>
          </c:tx>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numCache>
            </c:numRef>
          </c:val>
          <c:smooth val="0"/>
          <c:extLst>
            <c:ext xmlns:c16="http://schemas.microsoft.com/office/drawing/2014/chart" uri="{C3380CC4-5D6E-409C-BE32-E72D297353CC}">
              <c16:uniqueId val="{00000001-2BE1-4AD4-8A07-FC669B22D919}"/>
            </c:ext>
          </c:extLst>
        </c:ser>
        <c:ser>
          <c:idx val="2"/>
          <c:order val="2"/>
          <c:tx>
            <c:strRef>
              <c:f>Sheet1!$D$1</c:f>
              <c:strCache>
                <c:ptCount val="1"/>
                <c:pt idx="0">
                  <c:v>Column2</c:v>
                </c:pt>
              </c:strCache>
            </c:strRef>
          </c:tx>
          <c:cat>
            <c:numRef>
              <c:f>Sheet1!$A$2:$A$6</c:f>
              <c:numCache>
                <c:formatCode>General</c:formatCode>
                <c:ptCount val="5"/>
                <c:pt idx="0">
                  <c:v>2013</c:v>
                </c:pt>
                <c:pt idx="1">
                  <c:v>2014</c:v>
                </c:pt>
                <c:pt idx="2">
                  <c:v>2015</c:v>
                </c:pt>
                <c:pt idx="3">
                  <c:v>2016</c:v>
                </c:pt>
                <c:pt idx="4">
                  <c:v>2017</c:v>
                </c:pt>
              </c:numCache>
            </c:numRef>
          </c:cat>
          <c:val>
            <c:numRef>
              <c:f>Sheet1!$D$2:$D$6</c:f>
              <c:numCache>
                <c:formatCode>General</c:formatCode>
                <c:ptCount val="5"/>
              </c:numCache>
            </c:numRef>
          </c:val>
          <c:smooth val="0"/>
          <c:extLst>
            <c:ext xmlns:c16="http://schemas.microsoft.com/office/drawing/2014/chart" uri="{C3380CC4-5D6E-409C-BE32-E72D297353CC}">
              <c16:uniqueId val="{00000002-2BE1-4AD4-8A07-FC669B22D919}"/>
            </c:ext>
          </c:extLst>
        </c:ser>
        <c:dLbls>
          <c:showLegendKey val="0"/>
          <c:showVal val="0"/>
          <c:showCatName val="0"/>
          <c:showSerName val="0"/>
          <c:showPercent val="0"/>
          <c:showBubbleSize val="0"/>
        </c:dLbls>
        <c:hiLowLines/>
        <c:marker val="1"/>
        <c:smooth val="0"/>
        <c:axId val="280209280"/>
        <c:axId val="280249472"/>
      </c:lineChart>
      <c:catAx>
        <c:axId val="280209280"/>
        <c:scaling>
          <c:orientation val="minMax"/>
        </c:scaling>
        <c:delete val="0"/>
        <c:axPos val="b"/>
        <c:title>
          <c:tx>
            <c:rich>
              <a:bodyPr/>
              <a:lstStyle/>
              <a:p>
                <a:pPr>
                  <a:defRPr/>
                </a:pPr>
                <a:r>
                  <a:rPr lang="en-US"/>
                  <a:t>Tahun</a:t>
                </a:r>
              </a:p>
            </c:rich>
          </c:tx>
          <c:overlay val="0"/>
        </c:title>
        <c:numFmt formatCode="General" sourceLinked="1"/>
        <c:majorTickMark val="none"/>
        <c:minorTickMark val="none"/>
        <c:tickLblPos val="nextTo"/>
        <c:crossAx val="280249472"/>
        <c:crosses val="autoZero"/>
        <c:auto val="1"/>
        <c:lblAlgn val="ctr"/>
        <c:lblOffset val="100"/>
        <c:noMultiLvlLbl val="0"/>
      </c:catAx>
      <c:valAx>
        <c:axId val="280249472"/>
        <c:scaling>
          <c:orientation val="minMax"/>
        </c:scaling>
        <c:delete val="0"/>
        <c:axPos val="l"/>
        <c:majorGridlines/>
        <c:title>
          <c:tx>
            <c:rich>
              <a:bodyPr/>
              <a:lstStyle/>
              <a:p>
                <a:pPr>
                  <a:defRPr/>
                </a:pPr>
                <a:r>
                  <a:rPr lang="en-US"/>
                  <a:t>Persen</a:t>
                </a:r>
              </a:p>
            </c:rich>
          </c:tx>
          <c:overlay val="0"/>
        </c:title>
        <c:numFmt formatCode="0.00%" sourceLinked="1"/>
        <c:majorTickMark val="out"/>
        <c:minorTickMark val="none"/>
        <c:tickLblPos val="nextTo"/>
        <c:crossAx val="2802092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i="1"/>
              <a:t>Return On Equity (ROE)</a:t>
            </a:r>
          </a:p>
        </c:rich>
      </c:tx>
      <c:overlay val="0"/>
    </c:title>
    <c:autoTitleDeleted val="0"/>
    <c:plotArea>
      <c:layout/>
      <c:lineChart>
        <c:grouping val="standard"/>
        <c:varyColors val="0"/>
        <c:ser>
          <c:idx val="0"/>
          <c:order val="0"/>
          <c:tx>
            <c:strRef>
              <c:f>Sheet1!$B$1</c:f>
              <c:strCache>
                <c:ptCount val="1"/>
                <c:pt idx="0">
                  <c:v>Perkembangan Return On Assets (ROA)</c:v>
                </c:pt>
              </c:strCache>
            </c:strRef>
          </c:tx>
          <c:cat>
            <c:numRef>
              <c:f>Sheet1!$A$2:$A$6</c:f>
              <c:numCache>
                <c:formatCode>General</c:formatCode>
                <c:ptCount val="5"/>
                <c:pt idx="0">
                  <c:v>2013</c:v>
                </c:pt>
                <c:pt idx="1">
                  <c:v>2014</c:v>
                </c:pt>
                <c:pt idx="2">
                  <c:v>2015</c:v>
                </c:pt>
                <c:pt idx="3">
                  <c:v>2016</c:v>
                </c:pt>
                <c:pt idx="4">
                  <c:v>2017</c:v>
                </c:pt>
              </c:numCache>
            </c:numRef>
          </c:cat>
          <c:val>
            <c:numRef>
              <c:f>Sheet1!$B$2:$B$6</c:f>
              <c:numCache>
                <c:formatCode>0.00%</c:formatCode>
                <c:ptCount val="5"/>
                <c:pt idx="0">
                  <c:v>0.36109999999999998</c:v>
                </c:pt>
                <c:pt idx="1">
                  <c:v>0.50019999999999998</c:v>
                </c:pt>
                <c:pt idx="2">
                  <c:v>0.46550000000000002</c:v>
                </c:pt>
                <c:pt idx="3">
                  <c:v>0.29210000000000003</c:v>
                </c:pt>
                <c:pt idx="4">
                  <c:v>0.55620000000000003</c:v>
                </c:pt>
              </c:numCache>
            </c:numRef>
          </c:val>
          <c:smooth val="0"/>
          <c:extLst>
            <c:ext xmlns:c16="http://schemas.microsoft.com/office/drawing/2014/chart" uri="{C3380CC4-5D6E-409C-BE32-E72D297353CC}">
              <c16:uniqueId val="{00000000-907B-4F74-852A-A86D97E16152}"/>
            </c:ext>
          </c:extLst>
        </c:ser>
        <c:ser>
          <c:idx val="1"/>
          <c:order val="1"/>
          <c:tx>
            <c:strRef>
              <c:f>Sheet1!$C$1</c:f>
              <c:strCache>
                <c:ptCount val="1"/>
                <c:pt idx="0">
                  <c:v>Column1</c:v>
                </c:pt>
              </c:strCache>
            </c:strRef>
          </c:tx>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numCache>
            </c:numRef>
          </c:val>
          <c:smooth val="0"/>
          <c:extLst>
            <c:ext xmlns:c16="http://schemas.microsoft.com/office/drawing/2014/chart" uri="{C3380CC4-5D6E-409C-BE32-E72D297353CC}">
              <c16:uniqueId val="{00000001-907B-4F74-852A-A86D97E16152}"/>
            </c:ext>
          </c:extLst>
        </c:ser>
        <c:ser>
          <c:idx val="2"/>
          <c:order val="2"/>
          <c:tx>
            <c:strRef>
              <c:f>Sheet1!$D$1</c:f>
              <c:strCache>
                <c:ptCount val="1"/>
                <c:pt idx="0">
                  <c:v>Column2</c:v>
                </c:pt>
              </c:strCache>
            </c:strRef>
          </c:tx>
          <c:cat>
            <c:numRef>
              <c:f>Sheet1!$A$2:$A$6</c:f>
              <c:numCache>
                <c:formatCode>General</c:formatCode>
                <c:ptCount val="5"/>
                <c:pt idx="0">
                  <c:v>2013</c:v>
                </c:pt>
                <c:pt idx="1">
                  <c:v>2014</c:v>
                </c:pt>
                <c:pt idx="2">
                  <c:v>2015</c:v>
                </c:pt>
                <c:pt idx="3">
                  <c:v>2016</c:v>
                </c:pt>
                <c:pt idx="4">
                  <c:v>2017</c:v>
                </c:pt>
              </c:numCache>
            </c:numRef>
          </c:cat>
          <c:val>
            <c:numRef>
              <c:f>Sheet1!$D$2:$D$6</c:f>
              <c:numCache>
                <c:formatCode>General</c:formatCode>
                <c:ptCount val="5"/>
              </c:numCache>
            </c:numRef>
          </c:val>
          <c:smooth val="0"/>
          <c:extLst>
            <c:ext xmlns:c16="http://schemas.microsoft.com/office/drawing/2014/chart" uri="{C3380CC4-5D6E-409C-BE32-E72D297353CC}">
              <c16:uniqueId val="{00000002-907B-4F74-852A-A86D97E16152}"/>
            </c:ext>
          </c:extLst>
        </c:ser>
        <c:dLbls>
          <c:showLegendKey val="0"/>
          <c:showVal val="0"/>
          <c:showCatName val="0"/>
          <c:showSerName val="0"/>
          <c:showPercent val="0"/>
          <c:showBubbleSize val="0"/>
        </c:dLbls>
        <c:hiLowLines/>
        <c:marker val="1"/>
        <c:smooth val="0"/>
        <c:axId val="45289472"/>
        <c:axId val="45291392"/>
      </c:lineChart>
      <c:catAx>
        <c:axId val="45289472"/>
        <c:scaling>
          <c:orientation val="minMax"/>
        </c:scaling>
        <c:delete val="0"/>
        <c:axPos val="b"/>
        <c:title>
          <c:tx>
            <c:rich>
              <a:bodyPr/>
              <a:lstStyle/>
              <a:p>
                <a:pPr>
                  <a:defRPr/>
                </a:pPr>
                <a:r>
                  <a:rPr lang="en-US"/>
                  <a:t>Tahun</a:t>
                </a:r>
              </a:p>
            </c:rich>
          </c:tx>
          <c:overlay val="0"/>
        </c:title>
        <c:numFmt formatCode="General" sourceLinked="1"/>
        <c:majorTickMark val="none"/>
        <c:minorTickMark val="none"/>
        <c:tickLblPos val="nextTo"/>
        <c:crossAx val="45291392"/>
        <c:crosses val="autoZero"/>
        <c:auto val="1"/>
        <c:lblAlgn val="ctr"/>
        <c:lblOffset val="100"/>
        <c:noMultiLvlLbl val="0"/>
      </c:catAx>
      <c:valAx>
        <c:axId val="45291392"/>
        <c:scaling>
          <c:orientation val="minMax"/>
        </c:scaling>
        <c:delete val="0"/>
        <c:axPos val="l"/>
        <c:majorGridlines/>
        <c:title>
          <c:tx>
            <c:rich>
              <a:bodyPr/>
              <a:lstStyle/>
              <a:p>
                <a:pPr>
                  <a:defRPr/>
                </a:pPr>
                <a:r>
                  <a:rPr lang="en-US"/>
                  <a:t>Persen</a:t>
                </a:r>
              </a:p>
            </c:rich>
          </c:tx>
          <c:overlay val="0"/>
        </c:title>
        <c:numFmt formatCode="0.00%" sourceLinked="1"/>
        <c:majorTickMark val="out"/>
        <c:minorTickMark val="none"/>
        <c:tickLblPos val="nextTo"/>
        <c:crossAx val="452894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F76B5-E0DF-4136-BA84-F13E8BD7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4867</Words>
  <Characters>27746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31</cp:revision>
  <cp:lastPrinted>2018-03-31T07:59:00Z</cp:lastPrinted>
  <dcterms:created xsi:type="dcterms:W3CDTF">2019-07-30T15:39:00Z</dcterms:created>
  <dcterms:modified xsi:type="dcterms:W3CDTF">2019-12-27T22:15:00Z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